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420"/>
        <w:jc w:val="center"/>
        <w:rPr>
          <w:rFonts w:hint="eastAsia" w:ascii="仿宋_GB2312" w:hAnsi="仿宋_GB2312" w:eastAsia="仿宋_GB2312" w:cs="仿宋_GB2312"/>
          <w:b/>
          <w:bCs/>
          <w:i w:val="0"/>
          <w:iCs w:val="0"/>
          <w:caps w:val="0"/>
          <w:color w:val="000000"/>
          <w:spacing w:val="0"/>
          <w:sz w:val="30"/>
          <w:szCs w:val="30"/>
        </w:rPr>
      </w:pPr>
      <w:r>
        <w:rPr>
          <w:rFonts w:hint="eastAsia" w:ascii="仿宋_GB2312" w:hAnsi="仿宋_GB2312" w:eastAsia="仿宋_GB2312" w:cs="仿宋_GB2312"/>
          <w:b/>
          <w:bCs/>
          <w:i w:val="0"/>
          <w:iCs w:val="0"/>
          <w:caps w:val="0"/>
          <w:color w:val="000000"/>
          <w:spacing w:val="0"/>
          <w:sz w:val="30"/>
          <w:szCs w:val="30"/>
          <w:lang w:val="en-US" w:eastAsia="zh-CN"/>
        </w:rPr>
        <w:t xml:space="preserve">                              </w:t>
      </w:r>
      <w:r>
        <w:rPr>
          <w:rFonts w:hint="eastAsia" w:ascii="仿宋_GB2312" w:hAnsi="仿宋_GB2312" w:eastAsia="仿宋_GB2312" w:cs="仿宋_GB2312"/>
          <w:b/>
          <w:bCs/>
          <w:i w:val="0"/>
          <w:iCs w:val="0"/>
          <w:caps w:val="0"/>
          <w:color w:val="000000"/>
          <w:spacing w:val="0"/>
          <w:sz w:val="30"/>
          <w:szCs w:val="30"/>
        </w:rPr>
        <w:t>广政办发〔2022〕2号</w:t>
      </w:r>
    </w:p>
    <w:p>
      <w:pPr>
        <w:pStyle w:val="2"/>
        <w:keepNext w:val="0"/>
        <w:keepLines w:val="0"/>
        <w:widowControl/>
        <w:suppressLineNumbers w:val="0"/>
        <w:spacing w:before="0" w:beforeAutospacing="0" w:line="315" w:lineRule="atLeast"/>
        <w:ind w:left="0" w:firstLine="420"/>
        <w:jc w:val="center"/>
        <w:rPr>
          <w:rFonts w:hint="eastAsia" w:ascii="黑体" w:hAnsi="黑体" w:eastAsia="黑体" w:cs="黑体"/>
          <w:i w:val="0"/>
          <w:iCs w:val="0"/>
          <w:caps w:val="0"/>
          <w:color w:val="000000"/>
          <w:spacing w:val="0"/>
          <w:sz w:val="44"/>
          <w:szCs w:val="44"/>
        </w:rPr>
      </w:pPr>
      <w:bookmarkStart w:id="0" w:name="_GoBack"/>
      <w:r>
        <w:rPr>
          <w:rFonts w:hint="eastAsia" w:ascii="黑体" w:hAnsi="黑体" w:eastAsia="黑体" w:cs="黑体"/>
          <w:i w:val="0"/>
          <w:iCs w:val="0"/>
          <w:caps w:val="0"/>
          <w:color w:val="000000"/>
          <w:spacing w:val="0"/>
          <w:sz w:val="44"/>
          <w:szCs w:val="44"/>
        </w:rPr>
        <w:t>关于 印发广水市承接省人民政府下放经济社会管理权限事项清单的通知</w:t>
      </w:r>
    </w:p>
    <w:bookmarkEnd w:id="0"/>
    <w:p>
      <w:pPr>
        <w:pStyle w:val="2"/>
        <w:keepNext w:val="0"/>
        <w:keepLines w:val="0"/>
        <w:widowControl/>
        <w:suppressLineNumbers w:val="0"/>
        <w:spacing w:before="0" w:beforeAutospacing="0" w:line="315" w:lineRule="atLeast"/>
        <w:ind w:left="0" w:firstLine="420"/>
        <w:jc w:val="left"/>
        <w:rPr>
          <w:rFonts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市直相关部门:</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根据《省人民政府关于向79个县(市、区)下放经济社会管理权限的决定》(鄂政发〔2022〕4号)有关精神，经市政府研究，现将《广水市承接省人民政府下放经济社会管理权限事项清单》印发给你们，请结合实际认真贯彻执行。</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相关承接部门要主动认领承接事项，确保下放权限真正接得住、管得好;要将承接事项列入部门权责清单、政务服务事项目录，并向社会公布;要落实主体责任，完善工作机制，再造业务流程，规范办事程序，更加方便企业群众办事。</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市委编办将会同市发改局、市司法局、市政数据等部门加强  工作指导和督办落实，各部门在贯彻执行中遇到需要提交市政府解决的重大问题，及时向市政府报告。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附件:广水市承接省人民政府下放经济社会管理权限事项清单</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(112项)</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2022年3月9日 </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附件</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广水市承接省人民政府下放经济社会管理权限事项清单(112项)</w:t>
      </w:r>
    </w:p>
    <w:tbl>
      <w:tblPr>
        <w:tblW w:w="11655"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494"/>
        <w:gridCol w:w="1162"/>
        <w:gridCol w:w="1506"/>
        <w:gridCol w:w="1262"/>
        <w:gridCol w:w="844"/>
        <w:gridCol w:w="4015"/>
        <w:gridCol w:w="1771"/>
        <w:gridCol w:w="60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序号</w:t>
            </w:r>
          </w:p>
        </w:tc>
        <w:tc>
          <w:tcPr>
            <w:tcW w:w="1470"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实施部门</w:t>
            </w:r>
          </w:p>
        </w:tc>
        <w:tc>
          <w:tcPr>
            <w:tcW w:w="1800"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大项名称</w:t>
            </w:r>
          </w:p>
        </w:tc>
        <w:tc>
          <w:tcPr>
            <w:tcW w:w="1455"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子项名称</w:t>
            </w:r>
          </w:p>
        </w:tc>
        <w:tc>
          <w:tcPr>
            <w:tcW w:w="1020"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事项类型</w:t>
            </w:r>
          </w:p>
        </w:tc>
        <w:tc>
          <w:tcPr>
            <w:tcW w:w="5355"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设定依据</w:t>
            </w:r>
          </w:p>
        </w:tc>
        <w:tc>
          <w:tcPr>
            <w:tcW w:w="2175"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下放内容</w:t>
            </w:r>
          </w:p>
        </w:tc>
        <w:tc>
          <w:tcPr>
            <w:tcW w:w="675"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备注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1470"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1800"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1455"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1020"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5355"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2175"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c>
          <w:tcPr>
            <w:tcW w:w="675"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220千伏及以下交流项目核准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非跨县(市、区)110千伏及以下交流项目核准</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燃气热电项目核准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其余独立公(铁)路桥梁、隧道项目核准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其余水电站项目核准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国家规划或年度计划内风电站项目核准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其余输油管网(不含油田集输管网)项目核准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非跨县(市、区)输油管网(不含油田集输管网)项目核准</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其余公路项目核准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其余内河航运项目核准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其他城建项目核准或备案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余热余压余气发电项目核准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背压式燃煤热电项目核准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其余水利工程项目核准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生物质热电项目核准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其余输气管网(不含油气田集输管网)项目核准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非跨县(市、区)输油管网(不含油田集输管网)项目核准</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垃圾发电项目核准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其余城市道路桥梁、隧道项目核准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《湖北省人民政府关于印发湖北省企业投资项目核准和备案管理办法的通知》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企业、事业单位、社会团体等投资建设的固定资产投资项目核准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国家规划内生物质发电(不含生物质热电联产和垃圾发电)项目核准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《国务院关于投资体制改革的决定》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《企业投资项目核准和备案管理办法》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《湖北省人民政府关于贯彻国务院投资体制改革决定的意见》</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《湖北省人民政府关于发布政府核准的投资项目目录(湖北省 2017年本)的通知》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发改部门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国家鼓励发展的内、外资项目免税确认</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国家鼓励发展的内、外资项目免税确认</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《国务院关于调整进口设备税收政策的通知》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《国家发展改革委关于办理外商投资项目&lt;国家鼓励发展的内外资项目确认书&gt;有关问题的通知》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《国家发展改革委办公厅关于办理国际金融组织和外国政府贷款项目确认书有关事项的通知》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《湖北省发展改革委关于印发《湖北省内资项目进口设备免税确认工作管理办法&gt;的通知》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国家鼓励发展的内资项目免税确认</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新闻出版部门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出版物批发单位设立审批的初审</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出版物批发单位设立审批的初审</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《出版物市场管理规定》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机动车禁区通行证核发</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机动车禁区通行证核发</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《中华人民共和国道路交通安全法》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保安员证核发</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保安员证核发</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《保安服务管理条例》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非机动车登记</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非机动车登记</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《中华人民共和国道路交通安全法》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校车驾驶资格许可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校车驾驶资格许可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《校车安全管理条例》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保安服务公司跨省提供保安服务备案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保安服务公司跨省提供保安服务备案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《保安服务管理条例》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边境管理区通行证(深圳、珠海经济特区除外)核发</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边境管理区通行证(深圳、珠海经济特区除外)核发</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《中华人民共和国边境管理区通行证管理办法》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《国务院对确需保留的行政审批项目设定行政许可的决定》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公安部门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涉外单位备案登记</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涉外单位备案登记</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《外国人签证证件签发工作规范》</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人社部门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民办职业培训学校设立、分立、合并、变更及终止审批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民办职业培训学校设立、分立、合并、变更及终止审批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《中华人民共和国民办教育促进法》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自然资源和规划部门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法人或者其他组织需要利用属于国家秘密的基础测绘成果审批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法人或者其他组织需要利用属于国家秘密的基础测绘成果审批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《中华人民共和国测绘法》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《中华人民共和国测绘成果管理条例》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自然资源和规划部门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地理信息公共服务</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地理信息公共服务</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公共服务</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《中华人民共和国测绘法》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《地图管理条例》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建筑业企业、勘察企业、设计企业、工程监理企业资质核准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建筑业企业资质核准(总承包特级、一级、部分二级及部分专业承包一级、二级除外)</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《中华人民共和国建筑法》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《建设工程安全生产管理条例》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建筑业企业资质一简单变更(企业名称、法人、国有企业整体改制简单变更除外)</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建筑业企业、勘察企业、设计企业、工程监理企业资质核准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勘察企业资质核准(乙级)</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《中华人民共和国建筑法》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《建设工程勘察设计管理条例》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《建设工程质量管理条例》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勘察企业资质一简单变更(企业名称、法人、国有企业整体改制简单变更除外)</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建筑业企业、勘察企业、设计企业、工程监理企业资质核准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工程监理企业资质核准(综合、专业甲级除外)</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《中华人民共和国建筑法》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《建设工程质量管理条例》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工程监理企业资质一简单变更(企业名称、法人、国有企业整体改制简单变更除外)</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建筑业企业、勘察企业、设计企业、工程监理企业资质核准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设计企业资质核准(甲级及部分乙级除外)</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《中华人民共和国建筑法》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《建设工程勘察设计管理条例》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《建设工程质量管理条例》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设计企业资质一简单变更(企业名称、法人、国有企业整体改制简单变更除外)</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房地产估价机构备案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房地产估价机构备案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《中华人民共和国资产评估法》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《住房城乡建设部关于贯彻落实资产评估法规范房地产估价行业管理有关问题的通知》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《湖北省住建厅关于规范全省房地产估价机构备案管理的通知》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三级房地产估价机构备案</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建设工程勘察设计单位法人代表、技术负责人、注册资本金、经营地址等事项变更</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建设工程勘察设计单位法人代表、技术负责人、注册资本金、经营地址等事项变更</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《中华人民共和国建筑法》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《湖北省人民政府关于取消和调整行政审批项目的决定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勘察设计企业资质一简单变更(企业名称、法人、国有企业整体改制简单变更除外)</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工程监理企业(乙、丙级和事务所)法定代表人、技术负责人、注册资本金、经营地址等事项的变更</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工程监理企业(乙、丙级和事务所)法定代表人、技术负责人、注册资本金、经营地址等事项的变更</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《公路水运工程监理企业资质管理规定》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《湖北省人民政府关于取消和调整行政审批项目的决定》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工程监理企业资质一简单变更(企业名称、法人、国有企业整体改制简单变更除外)</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住建部门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房地产开发企业资质核定(二级及以下)</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房地产开发企业资质核定(二级及以下)</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《房地产开发企业资质管理规定》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《城市房地产开发经营管理条例》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出租汽车驾驶员从业资格注册</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出租汽车驾驶员从业资格注册</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《出租汽车驾驶员从业资格管理规定》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从事船舶港口服务、港口设施设备和机械租赁维修业务备案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从事船舶港口服务、港口设施设备和机械租赁维修业务备案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《港口经营管理规定》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道路运输从业人员从业资格证件换发、补发和变更</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道路运输从业人员从业资格证件换发、补发和变更</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《道路运输从业人员管理规定》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《出租汽车驾驶员从业资格管理规定》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航道通航条件影响评价审核</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航道通航条件影响评价审核</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《中华人民共和国航道法》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六级及以下不跨县、区的航道通航条件影响评价审核</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经营国内船舶管理业务审批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经营国内船舶管理业务审批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《国内水路运输管理条例》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《国内水路运输辅助业管理规定》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国内水路运输经营许可(不含省际旅客、危险品货物水路运输许可)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国内水路运输经营许可(不含省际旅客、危险品货物水路运输许可)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《国内水路运输管理条例》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《国内水路运输管理规定》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国内水路运输经营许可(不含旅客、危险品货物水路运输许可)</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通航水域岸线安全使用和水上水下活动许可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通航水域岸线安全使用和水上水下活动许可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《中华人民共和国内河交通安全管理条例》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《中华人民共和国水上水下作业和活动通航安全管理规定》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《湖北省水路交通管理条例》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在可供通航500吨级以下船舶的水域进行水上水下活动许可</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经营性道路旅客运输驾驶员从业资格证许可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经营性道路旅客运输驾驶员从业资格证许可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《中华人民共和国道路运输条例》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《道路运输从业人员管理规定》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出租汽车驾驶员从业资格许可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巡游出租汽车驾驶员从业资格证核发</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《国务院对确需保留的行政审批项目设定的决定》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《出租汽车驾驶员从业资格管理规定》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出租汽车驾驶员从业资格许可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网络预约出租汽车驾驶员从业资格证核发</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《国务院对确需保留的行政审批项目设定的决定》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《出租汽车驾驶员从业资格管理规定》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经营性道路货物运输驾驶员从业资格许可(使用总质量4500千克及以下普通货运车辆的驾驶人员除外)</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经营性道路货物运输驾驶员从业资格许可(使用总质量4500千克及以下普通货运车辆的驾驶人员除外)</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《中华人民共和国道路运输条例》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《道路运输从业人员管理规定》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道路运输从业人员注销</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道路运输从业人员注销</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《道路运输从业人员管理规定》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对道路运输经营企业变更事项等的备案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对道路运输经营者变更名称、地址等的备案(放射性物品道路运输)</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《道路货物运输及站场管理规定》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对道路运输经营企业变更事项等的备案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对道路危险货物运输企业或者单位变更法定代表人、名称、地址等工商登记事项的备案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《道路货物运输及站场管理规定》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《道路危险货物运输管理规定》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道路旅客运输经营许可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道路旅客运输经营许可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《道路旅客运输及客运站管理规定》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二三类客运班线或者包车客运经营许可</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专用航标设置、撤除、位置移动和其他状况改变审批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专用航标设置、撤除、位置移动和其他状况改变审批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《中华人民共和国航道管理条例》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六级及以下不跨县、区的航道专用航标设置、撤除、位置移动和其他状况改变审批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在公路增设或改造平面交叉道口审批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在公路增设或改造平面交叉道口审批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《中华人民共和国公路法》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《公路安全保护条例》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《路政管理规定》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除高速公路以外的国道、省道、县道范围增设或改造平面交叉道口的审批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更新采伐护路林审批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更新采伐护路林审批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《中华人民共和国公路法》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《公路安全保护条例》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《路政管理规定》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除高速公路以外的国道、省道范围更新采伐护路林审批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公路建设项目施工许可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公路建设项目施工许可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《湖北省农村公路条例》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《湖北省交通运输厅关于进一步加强国省干线一、二级公路建设管理工作的通知》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普通国道、省道建设项目(跨县的项目除外)、县道建设项目施工许可</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公路水运工程建设项目设计文件审批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公路水运工程建设项目设计文件审批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《农村公路建设管理办法》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《湖北省农村公路条例》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《港口工程建设管理规定》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《湖北省发展改革委等关于进一步深化投资审批改革的实施意见》</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县道建设项目以及市级权限的港口工程建设项目设计文件审批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公路建设项目竣工验收</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公路建设项目竣工验收</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《农村公路建设管理办法》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《湖北省交通运输厅关于加强普通公路竣(交)工验收工作的通知》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县道建设项目竣工验收</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公路施工作业验收</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公路施工作业验收</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《中华人民共和国道路交通安全法》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《公路安全保护条例》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普通公路根据对应下放的涉路施工许可进行下放(涉及以下3项:在公路增设或改造平面交叉道口审批、更新采伐护路林审批、在公路建筑控制区内设置非公路标志审批)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出具公路工程参建单位工作综合评价等级证书</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出具公路工程参建单位工作综合评价等级证书</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《公路工程竣(交)工验收办法》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县道建设项目出具公路工程参建单位工作综合评价等级证书</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客运站站级核定</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客运站站级核定</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《道路旅客运输及客运站管理规定》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《汽车客运站级别划分和建设要求》</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一二级客运站站级核定</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公路工程交工验收向交通主管部门备案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公路工程交工验收向交通主管部门备案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《农村公路建设管理办法》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《湖北省交通运输厅关于加强普通公路竣(交)工验收工作的通知》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市级权限的农村公路建设项目交工验收备案</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涉路施工活动许可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在公路建筑控制区内设置非公路标志审批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《路政管理规定》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《湖北省农村公路条例》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除高速公路以外的国道、省道、县道范围在公路建筑控制区内设置非公路标志审批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增加客运班线经营许可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增加客运班线经营许可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《道路旅客运输及客运站管理规定》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新增二三类客运班线经营许可</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工程质量鉴定</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公路工程质量鉴定</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《农村公路建设管理办法》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《湖北省农村公路工程质量监督工作标准化指南》</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县道建设项目工程质量鉴定</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对道路运输经营者终止经营的确认</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对道路运输经营者终止经营的行政确认(客运班线经营者)</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《道路旅客运输及客运站管理规定》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《湖北省道路运输条例》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对二、三类客运班线经营者终止经营的行政确认</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对道路运输经营者终止经营的确认</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对道路运输经营者终止经营的行政确认(客运经营者)</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《道路旅客运输及客运站管理规定》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《湖北省道路运输条例》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对二、三类客运班线或者包车客运经营者终止经营的行政确认</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确认在公路桥梁跨越的河道一定范围内疏浚作业符合公路桥梁安全要求</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确认在公路桥梁跨越的河道一定范围内疏浚作业符合公路桥梁安全要求</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《公路安全保护条例》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除高速公路以外的国道、省道、县道范围内确认在公路桥梁跨越的河道一定范围内疏浚作业符合公路桥梁安全要求</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交通运输部门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对道路运输经营者设立分公司的备案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对道路运输经营者设立分公司的备案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《道路旅客运输及客运站管理规定》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二、三类客运班线经营或者包车客运经营者设立分公司的备案</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水土流失纠纷裁决</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水土流失纠纷裁决</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行政裁决</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《中华人民共和国水土保持法》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《中华人民共和国行政诉讼法》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《水行政处罚实施办法》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县级行政区域内水土流失纠纷的裁决</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水事纠纷裁决</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水事纠纷裁决</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行政裁决</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《中华人民共和国水法》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《省际水事纠纷预防和处理办法》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县级行政区域内水事纠纷的裁决</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水库注册登记、降等和报废的审批确认</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水库注册登记、降等和报废的审批确认</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行政确认</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《水库大坝安全管理条例》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《水利部水库大坝注册登记办法》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《水利部&lt;水库降等与报废管理办法)(试行)》</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《湖北省水库管理办法》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县级负责:小(1)型、小(2)型水库注册登记工作;小(2)型水库降等工作;坝高15米以下(不含15米)小(2)型水库报废工作</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水利工程建设项目拆除和爆破工程方案审核备案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水利工程建设项目拆除和爆破工程方案审核备案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《水利工程建设安全生产管理规定》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属地管理、分级负责,由批复成立项目法人地区的同级水行政主管部门负责</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水利工程建设项目验收</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水利工程建设项目验收</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《水利工程建设项目验收管理规定》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《水利水电建设项目验收规程》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将现行省级权限中除省人民政府批复成立项目法人的重点水利水电工程和省水利厅直属单位组建项目法人的水利水电工程以外的水利工程建设项目验收,下放至批复成立项目法人所在地的县级及市州级水行政主管部门负责</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填占原有水塘、洼淀审批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填占原有水塘、洼淀审批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《中华人民共和国防洪法》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将现属于市级管理权限的填占原有水塘、洼淀审批下放到所在地县(市、区)</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水利水电工程质量结论核备</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水利水电工程质量结论核备(分部工程)</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《建设工程质量管理条例》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《水利工程质量管理规定》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《水利工程建设项目验收管理规定》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《湖北省人民政府关于加强水能资源开发利用管理的意见》</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将现行省级权限中除省人民政府批复成立项目法人的重点水利水电工程和省水利厅直属单位组建项目法人的水利水电工程以外的质量结论核备(分部工程),下放至批复成立项目法人所在地的县级及市州级水行政主管部门负责</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水利水电工程质量结论核备</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水利水电工程质量结论核备(单位工程)</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《建设工程质量管理条例》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《水利工程建设项目验收管理规定》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《水利工程质量管理规定》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《湖北省人民政府关于加强水能资源开发利用管理的意见》</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将现行省级权限中除省人民政府批复成立项目法人的重点水利水电工程和省水利厅直属单位组建项目法人的水利水电工程以外的质量结论核备(单位工程),下放至批复成立项目法人所在地的县级及市州级水行政主管部门负责</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水利水电工程招标备案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水利水电工程招标备案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《中华人民共和国招标投标法》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《水利工程建设项目施工招标投标管理规定》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《湖北省招标投标管理办法》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将现行省级权限中除省人民政府批复成立项目法人的重点水利水电工程和省水利厅直属单位组建项目法人的水利水电工程以外的水利水电工程招标备案,下放至批复成立项目法人所在地的县级及市州级水行政主管部门负责</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水利工程开工报告备案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水利工程开工报告备案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《水利部关于水利工程开工审批取消后加强后续监管工作的通知》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将现行省级权限中除省人民政府批复成立项目法人的重点水利水电工程和省水利厅直属单位组建项目法人的水利水电工程以外的水利工程开工报告备案,下放至批复成立项目法人所在地的县级及市州级水行政主管部门负责</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水利湖泊部门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水土保持公报查阅</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水土保持公报查阅</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公共服务</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《中华人民共和国水土保持法》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省、市两级水土保持公报的查阅服务下放至县一级水行政主管部门</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农业农村部门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出售、购买、利用省重点保护水生野生动物及其制品审批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出售、购买、利用省重点保护水生野生动物及其制品审批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《中华人民共和国野生动物保护法》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《湖北省实施《中华人民共和国野生动物保护法》办法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对外劳务合作经营资格审批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对外劳务合作经营资格审批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《中华人民共和国对外贸易法》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《对外劳务合作管理条例》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《湖北省人民政府关于取消和调整行政审批项目等事项的决定》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对取得对外劳务合作经营资格企业违法行为的行政处罚</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对取得对外劳务合作经营资格企业违法行为的行政处罚</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行政处罚</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对对外劳务合作企业未依照规定缴存或者补足备用金的行政处罚</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对对外劳务合作企业未依照规定缴存或者补足备用金的行政处罚</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行政处罚</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对取得对外劳务合作经营资格企业的行政检查</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对取得对外劳务合作经营资格企业的行政检查</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行政检查</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成品油零售经营许可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成品油零售经营许可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《国务院关于取消和下放一批行政许可事项的决定》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《商务部办公厅关于印发《石油成品油流通行业管理工作指引》的通知》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对商务职责范围内,对成品油零售经营企业其他的违法、违规行为的行政处罚</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对商务职责范围内,对成品油零售经营企业其他的违法、违规行为的行政处罚</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行政处罚</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《国务院关于取消和下放一批行政许可事项的决定》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《商务部办公厅关于印发《石油成品油流通行业管理工作指引》的通知》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从事拍卖业务的许可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从事拍卖业务的许可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《中华人民共和国拍卖法》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《拍卖管理办法》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《湖北省人民政府关于取消和调整行政审批项目等事项的决定》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89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自由进出口技术合同登记管理</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自由进出口技术合同登记管理</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《中华人民共和国技术进出口管理条例》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《技术进出口合同登记管理办法》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《湖北省商务厅关于下放自由进出口技术合同登记管理权限的通知》</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外派劳务项目审查</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外派劳务项目审查</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公共服务</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《商务部关于做好外派劳务招收备案工作的通知》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《湖北省人民政府关于取消和调整行政审批项目等事项的决定》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科技经信部门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外派劳务人员招收备案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外派劳务人员招收备案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公共服务</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《对外劳务合作管理条例》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《商务部关于做好外派劳务招收备案工作的通知》</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《湖北省人民政府关于取消和调整行政审批项目等事项的决定》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文物保护单位及未核定为文物保护单位的不可移动文物修缮许可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市级文物保护单位修缮审批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《中华人民共和国文物保护法》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核定为文物保护单位的属于国家所有的纪念建筑物或者古建筑改变用途审批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核定为文物保护单位的属于国家所有的纪念建筑物或者古建筑改变用途审批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《中华人民共和国文物保护法》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市县级文物保护单位改变用途审批</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建设工程文物保护和考古许可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县级文物保护单位保护范围内其他建设工程或者爆破、钻探、挖掘等作业审批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《中华人民共和国文物保护法》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建设工程文物保护和考古许可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市级文物保护单位建设控制地带内建设工程设计方案审批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《中华人民共和国文物保护法》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市级非国有不可移动文物转让、抵押或者改变用途备案</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市级非国有不可移动文物转让、抵押或者改变用途备案</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其他行政权力</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《中华人民共和国文物保护法》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区域性有线广播电视传输覆盖网总体规划、建设方案审核</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区域性有线广播电视传输覆盖网总体规划、建设方案审核</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《广播电视管理条例》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小功率的无线广播电视发射设备订购证明核发(初审)</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小功率的无线广播电视发射设备订购证明核发(初审)</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《国务院关于第六批取消和调整行政审批项目的决定》</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《广播电视无线传输覆盖网管理办法》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《国务院对确需保留的行政审批项目设定行政许可的决定》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99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文旅部门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经营高危险性体育项目许可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经营高危险性体育项目许可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《全民健身条例》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《国务院关于取消和下放一批行政审批项目等事项的决定》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退役军人部门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对拒绝接收安置退役士兵的处罚</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对拒绝接收安置退役士兵的处罚</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行政处罚</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《中华人民共和国兵役法》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《中华人民共和国退役军人保障法》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《退役士兵安置条例》</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《湖北省退役士兵安置办法》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市场管理部门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合同指导服务</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合同指导服务</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公共服务</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《湖北省合同监督条例》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市场管理部门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特种设备使用登记</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特种设备使用登记</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《中华人民共和国特种设备安全法》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《特种设备安全监察条例》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103</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人防部门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拆除、报废、改造人民防空工程审批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拆除人民防空工程审批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《中华人民共和国人民防空法》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《湖北省实施&lt;中华人民共和国人民防空法&gt;办法》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《湖北省人民防空工程管理规定》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非人防系统单独建设的人民防空工程</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104</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人防部门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拆除、报废、改造人民防空工程审批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报废人民防空工程审批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《中华人民共和国人民防空法》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《人民防空工程维护管理办法》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非人防系统单独建设的人民防空工程</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105</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人防部门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拆除、报废、改造人民防空工程审批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改造人民防空工程审批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《中华人民共和国人民防空法》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《湖北省实施&lt;中华人民共和国人民防空法&gt;办法》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《湖北省人民防空工程管理规定》</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非人防系统单独建设的人民防空工程</w:t>
            </w: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106</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人防部门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单独建设的人民防空工程设计文件审批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项目建议书审批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《中华人民共和国人民防空法》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《湖北省实施&lt;中华人民共和国人民防空法&gt;办法》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107</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人防部门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单独建设的人民防空工程设计文件审批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可行性研究报告审批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《中华人民共和国人民防空法》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《湖北省实施&lt;中华人民共和国人民防空法&gt;办法》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108</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人防部门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单独建设的人民防空工程设计文件审批</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初步设计文件审批</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《中华人民共和国人民防空法》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《湖北省实施&lt;中华人民共和国人民防空法&gt;办法》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109</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林业部门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陆生野生动物保护许可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省重点保护陆生野生动物及其产品经营利用许可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《中华人民共和国野生动物保护法》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《湖北省实施&lt;中华人民共和国野生动物保护法&gt;办法》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110</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林业部门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陆生野生动物保护许可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省重点保护陆生野生动物人工繁育许可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《中华人民共和国野生动物保护法》</w:t>
            </w:r>
            <w:r>
              <w:rPr>
                <w:rFonts w:hint="default" w:ascii="sans-serif" w:hAnsi="sans-serif" w:eastAsia="sans-serif" w:cs="sans-serif"/>
                <w:i w:val="0"/>
                <w:iCs w:val="0"/>
                <w:caps w:val="0"/>
                <w:color w:val="000000"/>
                <w:spacing w:val="0"/>
                <w:sz w:val="27"/>
                <w:szCs w:val="27"/>
                <w:bdr w:val="none" w:color="auto" w:sz="0" w:space="0"/>
              </w:rPr>
              <w:br w:type="textWrapping"/>
            </w:r>
            <w:r>
              <w:rPr>
                <w:rFonts w:hint="default" w:ascii="sans-serif" w:hAnsi="sans-serif" w:eastAsia="sans-serif" w:cs="sans-serif"/>
                <w:i w:val="0"/>
                <w:iCs w:val="0"/>
                <w:caps w:val="0"/>
                <w:color w:val="000000"/>
                <w:spacing w:val="0"/>
                <w:sz w:val="27"/>
                <w:szCs w:val="27"/>
                <w:bdr w:val="none" w:color="auto" w:sz="0" w:space="0"/>
              </w:rPr>
              <w:t>《湖北省实施《中华人民共和国野生动物保护法》办法》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111</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林业部门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林草种子生产经营许可证核发</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林草种子生产经营许可证核发</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《中华人民共和国种子法》</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52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112</w:t>
            </w:r>
          </w:p>
        </w:tc>
        <w:tc>
          <w:tcPr>
            <w:tcW w:w="147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林业部门</w:t>
            </w:r>
          </w:p>
        </w:tc>
        <w:tc>
          <w:tcPr>
            <w:tcW w:w="180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在风景名胜区内从事建设、设置广告、举办大型游乐活动以及其他影响生态和景观活动许可</w:t>
            </w:r>
          </w:p>
        </w:tc>
        <w:tc>
          <w:tcPr>
            <w:tcW w:w="14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在风景名胜区内从事建设、设置广告、举办大型游乐活动以及其他影响生态和景观活动许可</w:t>
            </w:r>
          </w:p>
        </w:tc>
        <w:tc>
          <w:tcPr>
            <w:tcW w:w="102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行政许可</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《风景名胜区条例》</w:t>
            </w:r>
          </w:p>
        </w:tc>
        <w:tc>
          <w:tcPr>
            <w:tcW w:w="21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c>
          <w:tcPr>
            <w:tcW w:w="67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keepNext w:val="0"/>
              <w:keepLines w:val="0"/>
              <w:widowControl/>
              <w:suppressLineNumbers w:val="0"/>
              <w:wordWrap w:val="0"/>
              <w:jc w:val="left"/>
              <w:rPr>
                <w:rFonts w:hint="default" w:ascii="sans-serif" w:hAnsi="sans-serif" w:eastAsia="sans-serif" w:cs="sans-serif"/>
                <w:i w:val="0"/>
                <w:iCs w:val="0"/>
                <w:caps w:val="0"/>
                <w:color w:val="000000"/>
                <w:spacing w:val="0"/>
                <w:sz w:val="27"/>
                <w:szCs w:val="27"/>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6727030D"/>
    <w:rsid w:val="67270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2023-08-04T03:32:00Z</dcterms:created>
  <dc:creator>微信用户</dc:creator>
  <cp:lastModifiedBy>微信用户</cp:lastModifiedBy>
  <dcterms:modified xsi:type="dcterms:W3CDTF">2023-08-04T03:34:06Z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4E82498DFEB04957BAF09D871C9B8229_11</vt:lpwstr>
  </property>
</Properties>
</file>