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exact"/>
        <w:rPr>
          <w:rFonts w:hint="eastAsia" w:ascii="楷体_GB2312" w:eastAsia="楷体_GB2312"/>
          <w:color w:val="000000"/>
          <w:sz w:val="32"/>
          <w:szCs w:val="32"/>
        </w:rPr>
      </w:pPr>
      <w:r>
        <w:rPr>
          <w:rFonts w:hint="eastAsia" w:ascii="楷体_GB2312" w:eastAsia="楷体_GB2312"/>
          <w:color w:val="000000"/>
          <w:sz w:val="32"/>
          <w:szCs w:val="32"/>
        </w:rPr>
        <w:t>附件1：</w:t>
      </w:r>
    </w:p>
    <w:p>
      <w:pPr>
        <w:spacing w:line="700" w:lineRule="exact"/>
        <w:jc w:val="center"/>
        <w:rPr>
          <w:rFonts w:hint="eastAsia" w:ascii="方正小标宋简体" w:eastAsia="方正小标宋简体"/>
          <w:sz w:val="40"/>
          <w:szCs w:val="40"/>
        </w:rPr>
      </w:pPr>
      <w:bookmarkStart w:id="0" w:name="_GoBack"/>
      <w:r>
        <w:rPr>
          <w:rFonts w:hint="eastAsia" w:ascii="方正小标宋简体" w:eastAsia="方正小标宋简体"/>
          <w:sz w:val="40"/>
          <w:szCs w:val="40"/>
        </w:rPr>
        <w:t>广水市部门整体支出绩效评价共性指标自评表</w:t>
      </w:r>
      <w:r>
        <w:rPr>
          <w:rFonts w:hint="eastAsia" w:ascii="楷体_GB2312" w:eastAsia="楷体_GB2312"/>
          <w:b/>
          <w:sz w:val="30"/>
          <w:szCs w:val="40"/>
        </w:rPr>
        <w:t>（表1）</w:t>
      </w:r>
    </w:p>
    <w:p>
      <w:pPr>
        <w:spacing w:line="200" w:lineRule="exact"/>
        <w:rPr>
          <w:rFonts w:hint="eastAsia" w:ascii="宋体" w:hAnsi="宋体"/>
          <w:sz w:val="24"/>
        </w:rPr>
      </w:pPr>
    </w:p>
    <w:p>
      <w:pPr>
        <w:spacing w:after="120" w:afterLines="50" w:line="300" w:lineRule="exact"/>
        <w:rPr>
          <w:rFonts w:hint="eastAsia" w:ascii="方正书宋简体" w:hAnsi="方正书宋简体" w:eastAsia="方正书宋简体" w:cs="方正书宋简体"/>
          <w:sz w:val="24"/>
          <w:lang w:eastAsia="zh-CN"/>
        </w:rPr>
      </w:pPr>
      <w:r>
        <w:rPr>
          <w:rFonts w:hint="eastAsia" w:ascii="方正书宋简体" w:hAnsi="方正书宋简体" w:eastAsia="方正书宋简体" w:cs="方正书宋简体"/>
          <w:sz w:val="24"/>
        </w:rPr>
        <w:t>单位（公章）：</w:t>
      </w:r>
      <w:r>
        <w:rPr>
          <w:rFonts w:hint="eastAsia" w:ascii="方正书宋简体" w:hAnsi="方正书宋简体" w:eastAsia="方正书宋简体" w:cs="方正书宋简体"/>
          <w:sz w:val="24"/>
          <w:lang w:eastAsia="zh-CN"/>
        </w:rPr>
        <w:t>三潭财政所</w:t>
      </w:r>
      <w:r>
        <w:rPr>
          <w:rFonts w:hint="eastAsia" w:ascii="方正书宋简体" w:hAnsi="方正书宋简体" w:eastAsia="方正书宋简体" w:cs="方正书宋简体"/>
          <w:sz w:val="24"/>
        </w:rPr>
        <w:t xml:space="preserve">   </w:t>
      </w:r>
      <w:r>
        <w:rPr>
          <w:rFonts w:hint="eastAsia" w:ascii="方正书宋简体" w:hAnsi="方正书宋简体" w:eastAsia="方正书宋简体" w:cs="方正书宋简体"/>
          <w:sz w:val="24"/>
          <w:lang w:val="en-US" w:eastAsia="zh-CN"/>
        </w:rPr>
        <w:t xml:space="preserve">  </w:t>
      </w:r>
      <w:r>
        <w:rPr>
          <w:rFonts w:hint="eastAsia" w:ascii="方正书宋简体" w:hAnsi="方正书宋简体" w:eastAsia="方正书宋简体" w:cs="方正书宋简体"/>
          <w:sz w:val="24"/>
        </w:rPr>
        <w:t xml:space="preserve"> 自评总分：  </w:t>
      </w:r>
      <w:r>
        <w:rPr>
          <w:rFonts w:hint="eastAsia" w:ascii="方正书宋简体" w:hAnsi="方正书宋简体" w:eastAsia="方正书宋简体" w:cs="方正书宋简体"/>
          <w:sz w:val="24"/>
          <w:lang w:val="en-US" w:eastAsia="zh-CN"/>
        </w:rPr>
        <w:t>26</w:t>
      </w:r>
      <w:r>
        <w:rPr>
          <w:rFonts w:hint="eastAsia" w:ascii="方正书宋简体" w:hAnsi="方正书宋简体" w:eastAsia="方正书宋简体" w:cs="方正书宋简体"/>
          <w:sz w:val="24"/>
        </w:rPr>
        <w:t xml:space="preserve">         单位领导审签：</w:t>
      </w:r>
      <w:r>
        <w:rPr>
          <w:rFonts w:hint="eastAsia" w:ascii="方正书宋简体" w:hAnsi="方正书宋简体" w:eastAsia="方正书宋简体" w:cs="方正书宋简体"/>
          <w:sz w:val="24"/>
          <w:lang w:eastAsia="zh-CN"/>
        </w:rPr>
        <w:t>明润杰</w:t>
      </w:r>
    </w:p>
    <w:tbl>
      <w:tblPr>
        <w:tblStyle w:val="13"/>
        <w:tblW w:w="96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1"/>
        <w:gridCol w:w="637"/>
        <w:gridCol w:w="636"/>
        <w:gridCol w:w="2751"/>
        <w:gridCol w:w="400"/>
        <w:gridCol w:w="506"/>
        <w:gridCol w:w="507"/>
        <w:gridCol w:w="35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tblHeader/>
          <w:jc w:val="center"/>
        </w:trPr>
        <w:tc>
          <w:tcPr>
            <w:tcW w:w="661"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一级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7"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二级</w:t>
            </w:r>
            <w:r>
              <w:rPr>
                <w:rFonts w:hint="eastAsia" w:ascii="方正书宋简体" w:hAnsi="宋体" w:eastAsia="方正书宋简体" w:cs="宋体"/>
                <w:b/>
                <w:bCs/>
                <w:kern w:val="0"/>
                <w:szCs w:val="21"/>
              </w:rPr>
              <w:br w:type="textWrapping"/>
            </w:r>
            <w:r>
              <w:rPr>
                <w:rFonts w:hint="eastAsia" w:ascii="方正书宋简体" w:hAnsi="宋体" w:eastAsia="方正书宋简体" w:cs="宋体"/>
                <w:b/>
                <w:bCs/>
                <w:kern w:val="0"/>
                <w:szCs w:val="21"/>
              </w:rPr>
              <w:t>指标</w:t>
            </w:r>
          </w:p>
        </w:tc>
        <w:tc>
          <w:tcPr>
            <w:tcW w:w="636"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三级指标</w:t>
            </w:r>
          </w:p>
        </w:tc>
        <w:tc>
          <w:tcPr>
            <w:tcW w:w="2751" w:type="dxa"/>
            <w:noWrap w:val="0"/>
            <w:vAlign w:val="center"/>
          </w:tcPr>
          <w:p>
            <w:pPr>
              <w:widowControl/>
              <w:spacing w:line="260" w:lineRule="exact"/>
              <w:ind w:left="-63" w:leftChars="-30" w:right="-63" w:rightChars="-3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四级指标</w:t>
            </w:r>
          </w:p>
        </w:tc>
        <w:tc>
          <w:tcPr>
            <w:tcW w:w="400"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分</w:t>
            </w:r>
          </w:p>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值</w:t>
            </w:r>
          </w:p>
        </w:tc>
        <w:tc>
          <w:tcPr>
            <w:tcW w:w="506"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自评分</w:t>
            </w:r>
          </w:p>
        </w:tc>
        <w:tc>
          <w:tcPr>
            <w:tcW w:w="507" w:type="dxa"/>
            <w:noWrap w:val="0"/>
            <w:vAlign w:val="center"/>
          </w:tcPr>
          <w:p>
            <w:pPr>
              <w:widowControl/>
              <w:spacing w:line="260" w:lineRule="exact"/>
              <w:ind w:left="-105" w:leftChars="-50" w:right="-105" w:rightChars="-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复核得分</w:t>
            </w:r>
          </w:p>
        </w:tc>
        <w:tc>
          <w:tcPr>
            <w:tcW w:w="3522" w:type="dxa"/>
            <w:noWrap w:val="0"/>
            <w:vAlign w:val="center"/>
          </w:tcPr>
          <w:p>
            <w:pPr>
              <w:widowControl/>
              <w:spacing w:line="260" w:lineRule="exact"/>
              <w:ind w:left="-63" w:leftChars="-30" w:right="-63" w:rightChars="-3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指标说明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661" w:type="dxa"/>
            <w:vMerge w:val="restart"/>
            <w:noWrap/>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投   入  (5分）</w:t>
            </w: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目标设定（2分）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绩效目标合理性</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部门（单位）所设立的整体绩效目标依据是否充分，是否符合客观实际，用以反映和考核部门（单位）整体绩效目标与部门履职、年度工作任务的相符性情况。</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①是否符合国家法律法规、国民经济和社会发展总体规划；</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②是否符合部门“三定”方案确定的职责；</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③是否符合部门制定的</w:t>
            </w:r>
            <w:r>
              <w:rPr>
                <w:rFonts w:hint="eastAsia" w:ascii="方正书宋简体" w:hAnsi="宋体" w:eastAsia="方正书宋简体" w:cs="宋体"/>
                <w:spacing w:val="-10"/>
                <w:kern w:val="0"/>
                <w:szCs w:val="21"/>
              </w:rPr>
              <w:t>年度工作规划。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5"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绩效指标明确性</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部门（单位）依据整体绩效目标所设定的绩效指标是否清晰、细化、可衡量，用以反映和考核部门（单位）整体绩效目标的明细化情况。</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①是否将部门整体的绩效目标细化分解为具体的工作任务；</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②是否通过清晰、可衡量的指标值予以体现；</w:t>
            </w:r>
          </w:p>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③是否与部门年度的任务数或计划数相对应；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④是否与本年度部门预算资金相匹配。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6"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配置（3分）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在职人员控制率</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部门（单位）本年度实际在职人员数与编制数的比率，用以反映和考核部门（单位）对人员成本的控制程度。</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1</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在职人员控制率=（在职人员数/编制数）×100%；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在职人员数：部门（单位）实际在职人数，以财政部确定的部门决算编制口径为准；</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编制数：机构编制部门核定批复的部门（单位）的人员编制数。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8" w:hRule="atLeast"/>
          <w:jc w:val="center"/>
        </w:trPr>
        <w:tc>
          <w:tcPr>
            <w:tcW w:w="661"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“三公经费”变动率</w:t>
            </w:r>
          </w:p>
        </w:tc>
        <w:tc>
          <w:tcPr>
            <w:tcW w:w="2751"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部门（单位）本年度“三公经费”预算数与上年度“三公经费”预算数的变动比率，用以反映和考核部门（单位）对控制重点行政成本的努力程度。</w:t>
            </w:r>
          </w:p>
        </w:tc>
        <w:tc>
          <w:tcPr>
            <w:tcW w:w="400" w:type="dxa"/>
            <w:noWrap w:val="0"/>
            <w:vAlign w:val="center"/>
          </w:tcPr>
          <w:p>
            <w:pPr>
              <w:widowControl/>
              <w:spacing w:line="30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2</w:t>
            </w:r>
          </w:p>
        </w:tc>
        <w:tc>
          <w:tcPr>
            <w:tcW w:w="506" w:type="dxa"/>
            <w:noWrap w:val="0"/>
            <w:vAlign w:val="center"/>
          </w:tcPr>
          <w:p>
            <w:pPr>
              <w:widowControl/>
              <w:spacing w:line="30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30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30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“三公经费”变动率=[（本年度“三公经费”总额-上年度“三公经费”总额）/上年度“三公经费”总额]×100%。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“三公经费”：年度预算安排的因公出国（境）费、公务车辆购置及运行费和公务招待费。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99" w:hRule="atLeast"/>
          <w:jc w:val="center"/>
        </w:trPr>
        <w:tc>
          <w:tcPr>
            <w:tcW w:w="661" w:type="dxa"/>
            <w:vMerge w:val="restart"/>
            <w:tcBorders>
              <w:top w:val="single" w:color="auto" w:sz="4" w:space="0"/>
            </w:tcBorders>
            <w:noWrap w:val="0"/>
            <w:vAlign w:val="center"/>
          </w:tcPr>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过 程</w:t>
            </w: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过</w:t>
            </w:r>
          </w:p>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程（25分）</w:t>
            </w:r>
          </w:p>
        </w:tc>
        <w:tc>
          <w:tcPr>
            <w:tcW w:w="637" w:type="dxa"/>
            <w:vMerge w:val="restart"/>
            <w:tcBorders>
              <w:top w:val="single" w:color="auto" w:sz="4" w:space="0"/>
            </w:tcBorders>
            <w:noWrap w:val="0"/>
            <w:vAlign w:val="center"/>
          </w:tcPr>
          <w:p>
            <w:pPr>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预算执行（9分）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公用经费控制率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部门（单位）本年度实际支出的公用经费总额与预算安排的公用经费总额的比率，用以反映和考核部门（单位）对机构运转成本的实际控制程度。</w:t>
            </w:r>
          </w:p>
        </w:tc>
        <w:tc>
          <w:tcPr>
            <w:tcW w:w="400" w:type="dxa"/>
            <w:noWrap w:val="0"/>
            <w:vAlign w:val="center"/>
          </w:tcPr>
          <w:p>
            <w:pPr>
              <w:widowControl/>
              <w:spacing w:line="26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公用经费控制率=（实际支出公用经费总额/预算安排公用经费总额）×100%。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“三公经费”控制率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部门（单位）本年度“三公经费”实际支出数与预算安排数的比率，用以反映和考核部门（单位）对“三公经费”的实际控制程度。</w:t>
            </w:r>
          </w:p>
        </w:tc>
        <w:tc>
          <w:tcPr>
            <w:tcW w:w="400" w:type="dxa"/>
            <w:noWrap w:val="0"/>
            <w:vAlign w:val="center"/>
          </w:tcPr>
          <w:p>
            <w:pPr>
              <w:widowControl/>
              <w:spacing w:line="260" w:lineRule="exact"/>
              <w:ind w:left="-50" w:right="-50"/>
              <w:jc w:val="center"/>
              <w:rPr>
                <w:rFonts w:hint="eastAsia" w:ascii="方正书宋简体" w:hAnsi="宋体" w:eastAsia="方正书宋简体" w:cs="宋体"/>
                <w:bCs/>
                <w:kern w:val="0"/>
                <w:szCs w:val="21"/>
              </w:rPr>
            </w:pPr>
            <w:r>
              <w:rPr>
                <w:rFonts w:hint="eastAsia" w:ascii="方正书宋简体" w:hAnsi="宋体" w:eastAsia="方正书宋简体" w:cs="宋体"/>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“三公经费”控制率=（“三公经费”实际支出数/“三公经费”预算安排数）×100%。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17"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政府采购执行率</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部门（单位）本年度实际政府采购金额与年初政府采购预算的比率，用以反映和考核部门（单位）政府采购预算执行情况。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政府采购执行率=（实际政府采购金额/政府采购预算数）×100%；</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政府采购预算：采购机关根据事业发展计划和行政任务编制的、并经过规定程序批准的年度政府采购计划。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预算管理（9分）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部门（单位）为加强预算管理、规范财务行为而制定的管理制度是否健全完整，用以反映和考核部门（单位）预算管理制度对完成主要职责或促进事业发展的保障情况。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①是否已制定或具有预算资金管理办法、内部财务管理制度、会计核算制度等管理制度；</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②相关管理制度是否得到有效执行。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2"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资金使用合规性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部门（单位）使用预算资金是否符合相关的预算财务管理制度的规定，用以反映和考核部门（单位）预算资金的规范运行情况。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①是否符合国家财经法规和财务管理制度规定以及有关专项资金管理办法的规定；</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②资金的拨付是否有完整的审批程序和手续；</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③项目的重大开支是否经过评估论证；</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④是否符合部门预算批复的用途；</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⑤是否存在截留、挤占、挪用、虚列支出等情况。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20"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预决算信息公开性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部门（单位）是否按照政府信息公开有关规定公开相关预决算信息，用以反映和考核部门（单位）预决算管理的公开透明情况。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①是否按规定内容公开预决算信息；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②是否按规定时限公开预决算信息。</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预决算信息是指与部门预算、执行、决算、监督、绩效等管理相关的信息。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661" w:type="dxa"/>
            <w:vMerge w:val="continue"/>
            <w:noWrap/>
            <w:vAlign w:val="center"/>
          </w:tcPr>
          <w:p>
            <w:pPr>
              <w:widowControl/>
              <w:spacing w:line="260" w:lineRule="exact"/>
              <w:jc w:val="center"/>
              <w:rPr>
                <w:rFonts w:hint="eastAsia" w:ascii="方正书宋简体" w:hAnsi="宋体" w:eastAsia="方正书宋简体" w:cs="宋体"/>
                <w:kern w:val="0"/>
                <w:szCs w:val="21"/>
              </w:rPr>
            </w:pPr>
          </w:p>
        </w:tc>
        <w:tc>
          <w:tcPr>
            <w:tcW w:w="637" w:type="dxa"/>
            <w:vMerge w:val="restart"/>
            <w:noWrap w:val="0"/>
            <w:vAlign w:val="center"/>
          </w:tcPr>
          <w:p>
            <w:pPr>
              <w:widowControl/>
              <w:spacing w:line="260" w:lineRule="exact"/>
              <w:jc w:val="center"/>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资产</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管理(7分）</w:t>
            </w: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管理制度健全性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部门（单位）为加强资产管理、规范资产管理行为而制定的管理制度是否健全完整，用以反映和考核部门（单位）资产管理制度对完成主要职责或促进社会发展的保障情况。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2</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2</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w:t>
            </w:r>
            <w:r>
              <w:rPr>
                <w:rFonts w:hint="eastAsia" w:ascii="方正书宋简体" w:hAnsi="宋体" w:eastAsia="方正书宋简体" w:cs="宋体"/>
                <w:kern w:val="0"/>
                <w:szCs w:val="21"/>
              </w:rPr>
              <w:br w:type="textWrapping"/>
            </w:r>
            <w:r>
              <w:rPr>
                <w:rFonts w:hint="eastAsia" w:ascii="方正书宋简体" w:hAnsi="宋体" w:eastAsia="方正书宋简体" w:cs="宋体"/>
                <w:kern w:val="0"/>
                <w:szCs w:val="21"/>
              </w:rPr>
              <w:t xml:space="preserve">①是否有资产管理制度；           </w:t>
            </w:r>
          </w:p>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②相关资产管理制度是否得到有效执行。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2" w:hRule="atLeast"/>
          <w:jc w:val="center"/>
        </w:trPr>
        <w:tc>
          <w:tcPr>
            <w:tcW w:w="661"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资产管理安全性</w:t>
            </w:r>
          </w:p>
        </w:tc>
        <w:tc>
          <w:tcPr>
            <w:tcW w:w="2751"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部门（单位）的资产是否保存完整、使用合规、配置合理、处置规范、收入及时足额上缴，用以反映和考核部门（单位）资产安全运行情况。</w:t>
            </w:r>
          </w:p>
        </w:tc>
        <w:tc>
          <w:tcPr>
            <w:tcW w:w="400" w:type="dxa"/>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4</w:t>
            </w:r>
          </w:p>
        </w:tc>
        <w:tc>
          <w:tcPr>
            <w:tcW w:w="506" w:type="dxa"/>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3</w:t>
            </w:r>
          </w:p>
        </w:tc>
        <w:tc>
          <w:tcPr>
            <w:tcW w:w="507" w:type="dxa"/>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评价要点：①资产保存是否完整；②资产配置是否合理；③资产处置是否规范；④资产账务管理是否合规，是否帐实相符；⑤资产是否有偿使用及处置收入及时足额上缴。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9" w:hRule="atLeast"/>
          <w:jc w:val="center"/>
        </w:trPr>
        <w:tc>
          <w:tcPr>
            <w:tcW w:w="661"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7" w:type="dxa"/>
            <w:vMerge w:val="continue"/>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p>
        </w:tc>
        <w:tc>
          <w:tcPr>
            <w:tcW w:w="636" w:type="dxa"/>
            <w:tcBorders>
              <w:bottom w:val="single" w:color="auto" w:sz="4" w:space="0"/>
            </w:tcBorders>
            <w:noWrap w:val="0"/>
            <w:vAlign w:val="center"/>
          </w:tcPr>
          <w:p>
            <w:pPr>
              <w:widowControl/>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固定资产利用率</w:t>
            </w:r>
          </w:p>
        </w:tc>
        <w:tc>
          <w:tcPr>
            <w:tcW w:w="2751" w:type="dxa"/>
            <w:tcBorders>
              <w:bottom w:val="single" w:color="auto" w:sz="4" w:space="0"/>
            </w:tcBorders>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部门（单位）实际在用固定资产总额与所有固定资产总额的比率，用以反映和考核部门（单位）固定资产使用效率程度。</w:t>
            </w:r>
          </w:p>
        </w:tc>
        <w:tc>
          <w:tcPr>
            <w:tcW w:w="400" w:type="dxa"/>
            <w:tcBorders>
              <w:bottom w:val="single" w:color="auto" w:sz="4" w:space="0"/>
            </w:tcBorders>
            <w:noWrap w:val="0"/>
            <w:vAlign w:val="center"/>
          </w:tcPr>
          <w:p>
            <w:pPr>
              <w:widowControl/>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1</w:t>
            </w:r>
          </w:p>
        </w:tc>
        <w:tc>
          <w:tcPr>
            <w:tcW w:w="506" w:type="dxa"/>
            <w:tcBorders>
              <w:bottom w:val="single" w:color="auto" w:sz="4" w:space="0"/>
            </w:tcBorders>
            <w:noWrap w:val="0"/>
            <w:vAlign w:val="center"/>
          </w:tcPr>
          <w:p>
            <w:pPr>
              <w:widowControl/>
              <w:spacing w:line="260" w:lineRule="exact"/>
              <w:ind w:left="-50" w:right="-50"/>
              <w:rPr>
                <w:rFonts w:hint="eastAsia" w:ascii="方正书宋简体" w:hAnsi="宋体" w:eastAsia="方正书宋简体" w:cs="宋体"/>
                <w:kern w:val="0"/>
                <w:szCs w:val="21"/>
                <w:lang w:val="en-US" w:eastAsia="zh-CN"/>
              </w:rPr>
            </w:pPr>
            <w:r>
              <w:rPr>
                <w:rFonts w:hint="eastAsia" w:ascii="方正书宋简体" w:hAnsi="宋体" w:eastAsia="方正书宋简体" w:cs="宋体"/>
                <w:kern w:val="0"/>
                <w:szCs w:val="21"/>
              </w:rPr>
              <w:t>　</w:t>
            </w:r>
            <w:r>
              <w:rPr>
                <w:rFonts w:hint="eastAsia" w:ascii="方正书宋简体" w:hAnsi="宋体" w:eastAsia="方正书宋简体" w:cs="宋体"/>
                <w:kern w:val="0"/>
                <w:szCs w:val="21"/>
                <w:lang w:val="en-US" w:eastAsia="zh-CN"/>
              </w:rPr>
              <w:t>1</w:t>
            </w:r>
          </w:p>
        </w:tc>
        <w:tc>
          <w:tcPr>
            <w:tcW w:w="507" w:type="dxa"/>
            <w:tcBorders>
              <w:bottom w:val="single" w:color="auto" w:sz="4" w:space="0"/>
            </w:tcBorders>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tcBorders>
              <w:bottom w:val="single" w:color="auto" w:sz="4" w:space="0"/>
            </w:tcBorders>
            <w:noWrap w:val="0"/>
            <w:vAlign w:val="center"/>
          </w:tcPr>
          <w:p>
            <w:pPr>
              <w:widowControl/>
              <w:spacing w:line="260" w:lineRule="exact"/>
              <w:ind w:left="-63" w:leftChars="-30" w:right="-63" w:rightChars="-30"/>
              <w:rPr>
                <w:rFonts w:hint="eastAsia" w:ascii="方正书宋简体" w:hAnsi="宋体" w:eastAsia="方正书宋简体" w:cs="宋体"/>
                <w:kern w:val="0"/>
                <w:szCs w:val="21"/>
              </w:rPr>
            </w:pPr>
            <w:r>
              <w:rPr>
                <w:rFonts w:hint="eastAsia" w:ascii="方正书宋简体" w:hAnsi="宋体" w:eastAsia="方正书宋简体" w:cs="宋体"/>
                <w:kern w:val="0"/>
                <w:szCs w:val="21"/>
              </w:rPr>
              <w:t>固定资产利用率=（实际在用固定资产总额/所有固定资产总额）×100%。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61"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合计</w:t>
            </w:r>
          </w:p>
        </w:tc>
        <w:tc>
          <w:tcPr>
            <w:tcW w:w="637"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r>
              <w:rPr>
                <w:rFonts w:hint="eastAsia" w:ascii="方正书宋简体" w:hAnsi="宋体" w:eastAsia="方正书宋简体" w:cs="宋体"/>
                <w:kern w:val="0"/>
                <w:szCs w:val="21"/>
              </w:rPr>
              <w:t>30</w:t>
            </w:r>
          </w:p>
        </w:tc>
        <w:tc>
          <w:tcPr>
            <w:tcW w:w="636" w:type="dxa"/>
            <w:tcBorders>
              <w:top w:val="single" w:color="auto" w:sz="4" w:space="0"/>
            </w:tcBorders>
            <w:noWrap w:val="0"/>
            <w:vAlign w:val="center"/>
          </w:tcPr>
          <w:p>
            <w:pPr>
              <w:spacing w:line="260" w:lineRule="exact"/>
              <w:jc w:val="left"/>
              <w:rPr>
                <w:rFonts w:hint="eastAsia" w:ascii="方正书宋简体" w:hAnsi="宋体" w:eastAsia="方正书宋简体" w:cs="宋体"/>
                <w:kern w:val="0"/>
                <w:szCs w:val="21"/>
              </w:rPr>
            </w:pPr>
          </w:p>
        </w:tc>
        <w:tc>
          <w:tcPr>
            <w:tcW w:w="2751" w:type="dxa"/>
            <w:tcBorders>
              <w:top w:val="single" w:color="auto" w:sz="4" w:space="0"/>
            </w:tcBorders>
            <w:noWrap w:val="0"/>
            <w:vAlign w:val="center"/>
          </w:tcPr>
          <w:p>
            <w:pPr>
              <w:spacing w:line="260" w:lineRule="exact"/>
              <w:ind w:left="-63" w:leftChars="-30" w:right="-63" w:rightChars="-30"/>
              <w:rPr>
                <w:rFonts w:hint="eastAsia" w:ascii="方正书宋简体" w:hAnsi="宋体" w:eastAsia="方正书宋简体" w:cs="宋体"/>
                <w:kern w:val="0"/>
                <w:szCs w:val="21"/>
              </w:rPr>
            </w:pPr>
          </w:p>
        </w:tc>
        <w:tc>
          <w:tcPr>
            <w:tcW w:w="400" w:type="dxa"/>
            <w:tcBorders>
              <w:top w:val="single" w:color="auto" w:sz="4" w:space="0"/>
            </w:tcBorders>
            <w:noWrap w:val="0"/>
            <w:vAlign w:val="center"/>
          </w:tcPr>
          <w:p>
            <w:pPr>
              <w:spacing w:line="260" w:lineRule="exact"/>
              <w:ind w:left="-50" w:right="-50"/>
              <w:jc w:val="center"/>
              <w:rPr>
                <w:rFonts w:hint="eastAsia" w:ascii="方正书宋简体" w:hAnsi="宋体" w:eastAsia="方正书宋简体" w:cs="宋体"/>
                <w:b/>
                <w:bCs/>
                <w:kern w:val="0"/>
                <w:szCs w:val="21"/>
              </w:rPr>
            </w:pPr>
            <w:r>
              <w:rPr>
                <w:rFonts w:hint="eastAsia" w:ascii="方正书宋简体" w:hAnsi="宋体" w:eastAsia="方正书宋简体" w:cs="宋体"/>
                <w:b/>
                <w:bCs/>
                <w:kern w:val="0"/>
                <w:szCs w:val="21"/>
              </w:rPr>
              <w:t>30</w:t>
            </w:r>
          </w:p>
        </w:tc>
        <w:tc>
          <w:tcPr>
            <w:tcW w:w="506" w:type="dxa"/>
            <w:tcBorders>
              <w:top w:val="single" w:color="auto" w:sz="4" w:space="0"/>
            </w:tcBorders>
            <w:noWrap w:val="0"/>
            <w:vAlign w:val="center"/>
          </w:tcPr>
          <w:p>
            <w:pPr>
              <w:spacing w:line="260" w:lineRule="exact"/>
              <w:ind w:left="-50" w:right="-50"/>
              <w:rPr>
                <w:rFonts w:hint="default" w:ascii="方正书宋简体" w:hAnsi="宋体" w:eastAsia="方正书宋简体" w:cs="宋体"/>
                <w:kern w:val="0"/>
                <w:szCs w:val="21"/>
                <w:lang w:val="en-US" w:eastAsia="zh-CN"/>
              </w:rPr>
            </w:pPr>
            <w:r>
              <w:rPr>
                <w:rFonts w:hint="eastAsia" w:ascii="方正书宋简体" w:hAnsi="宋体" w:eastAsia="方正书宋简体" w:cs="宋体"/>
                <w:kern w:val="0"/>
                <w:szCs w:val="21"/>
                <w:lang w:val="en-US" w:eastAsia="zh-CN"/>
              </w:rPr>
              <w:t>26</w:t>
            </w:r>
          </w:p>
        </w:tc>
        <w:tc>
          <w:tcPr>
            <w:tcW w:w="507" w:type="dxa"/>
            <w:tcBorders>
              <w:top w:val="single" w:color="auto" w:sz="4" w:space="0"/>
            </w:tcBorders>
            <w:noWrap w:val="0"/>
            <w:vAlign w:val="center"/>
          </w:tcPr>
          <w:p>
            <w:pPr>
              <w:widowControl/>
              <w:spacing w:line="260" w:lineRule="exact"/>
              <w:ind w:right="-50"/>
              <w:rPr>
                <w:rFonts w:hint="eastAsia" w:ascii="方正书宋简体" w:hAnsi="宋体" w:eastAsia="方正书宋简体" w:cs="宋体"/>
                <w:kern w:val="0"/>
                <w:szCs w:val="21"/>
              </w:rPr>
            </w:pPr>
          </w:p>
        </w:tc>
        <w:tc>
          <w:tcPr>
            <w:tcW w:w="3522" w:type="dxa"/>
            <w:tcBorders>
              <w:top w:val="single" w:color="auto" w:sz="4" w:space="0"/>
            </w:tcBorders>
            <w:noWrap w:val="0"/>
            <w:vAlign w:val="center"/>
          </w:tcPr>
          <w:p>
            <w:pPr>
              <w:spacing w:line="260" w:lineRule="exact"/>
              <w:ind w:left="-63" w:leftChars="-30" w:right="-63" w:rightChars="-30"/>
              <w:rPr>
                <w:rFonts w:hint="eastAsia" w:ascii="方正书宋简体" w:hAnsi="宋体" w:eastAsia="方正书宋简体" w:cs="宋体"/>
                <w:kern w:val="0"/>
                <w:szCs w:val="21"/>
              </w:rPr>
            </w:pPr>
          </w:p>
        </w:tc>
      </w:tr>
    </w:tbl>
    <w:p>
      <w:pPr>
        <w:spacing w:line="440" w:lineRule="exact"/>
        <w:rPr>
          <w:rFonts w:hint="default" w:ascii="方正书宋简体" w:hAnsi="宋体" w:eastAsia="方正书宋简体" w:cs="宋体"/>
          <w:b/>
          <w:color w:val="000000"/>
          <w:kern w:val="0"/>
          <w:sz w:val="24"/>
          <w:lang w:val="en-US" w:eastAsia="zh-CN"/>
        </w:rPr>
      </w:pPr>
      <w:r>
        <w:rPr>
          <w:rFonts w:hint="eastAsia" w:ascii="方正书宋简体" w:hAnsi="宋体" w:eastAsia="方正书宋简体" w:cs="宋体"/>
          <w:b/>
          <w:color w:val="000000"/>
          <w:kern w:val="0"/>
          <w:sz w:val="24"/>
        </w:rPr>
        <w:t xml:space="preserve">共性指标自评分： </w:t>
      </w:r>
      <w:r>
        <w:rPr>
          <w:rFonts w:hint="eastAsia" w:ascii="方正书宋简体" w:hAnsi="宋体" w:eastAsia="方正书宋简体" w:cs="宋体"/>
          <w:b/>
          <w:color w:val="000000"/>
          <w:kern w:val="0"/>
          <w:sz w:val="24"/>
          <w:lang w:val="en-US" w:eastAsia="zh-CN"/>
        </w:rPr>
        <w:t>26</w:t>
      </w:r>
      <w:r>
        <w:rPr>
          <w:rFonts w:hint="eastAsia" w:ascii="方正书宋简体" w:hAnsi="宋体" w:eastAsia="方正书宋简体" w:cs="宋体"/>
          <w:b/>
          <w:color w:val="000000"/>
          <w:kern w:val="0"/>
          <w:sz w:val="24"/>
        </w:rPr>
        <w:t xml:space="preserve">        填报人：</w:t>
      </w:r>
      <w:r>
        <w:rPr>
          <w:rFonts w:hint="eastAsia" w:ascii="方正书宋简体" w:hAnsi="宋体" w:eastAsia="方正书宋简体" w:cs="宋体"/>
          <w:b/>
          <w:color w:val="000000"/>
          <w:kern w:val="0"/>
          <w:sz w:val="24"/>
          <w:lang w:eastAsia="zh-CN"/>
        </w:rPr>
        <w:t>明润杰</w:t>
      </w:r>
      <w:r>
        <w:rPr>
          <w:rFonts w:hint="eastAsia" w:ascii="方正书宋简体" w:hAnsi="宋体" w:eastAsia="方正书宋简体" w:cs="宋体"/>
          <w:b/>
          <w:color w:val="000000"/>
          <w:kern w:val="0"/>
          <w:sz w:val="24"/>
        </w:rPr>
        <w:t xml:space="preserve">       填报时间：</w:t>
      </w:r>
      <w:r>
        <w:rPr>
          <w:rFonts w:hint="eastAsia" w:ascii="方正书宋简体" w:hAnsi="宋体" w:eastAsia="方正书宋简体" w:cs="宋体"/>
          <w:b/>
          <w:color w:val="000000"/>
          <w:kern w:val="0"/>
          <w:sz w:val="24"/>
          <w:lang w:val="en-US" w:eastAsia="zh-CN"/>
        </w:rPr>
        <w:t>2022年6月28日</w:t>
      </w:r>
    </w:p>
    <w:p>
      <w:pPr>
        <w:spacing w:line="560" w:lineRule="exact"/>
        <w:jc w:val="center"/>
        <w:rPr>
          <w:rFonts w:hint="eastAsia" w:ascii="楷体_GB2312" w:eastAsia="楷体_GB2312"/>
          <w:b/>
          <w:sz w:val="30"/>
          <w:szCs w:val="36"/>
        </w:rPr>
      </w:pPr>
      <w:r>
        <w:rPr>
          <w:rFonts w:hint="eastAsia" w:ascii="方正小标宋简体" w:eastAsia="方正小标宋简体"/>
          <w:sz w:val="36"/>
          <w:szCs w:val="36"/>
        </w:rPr>
        <w:t>广水市部门整体支出绩效目标自评表</w:t>
      </w:r>
      <w:r>
        <w:rPr>
          <w:rFonts w:hint="eastAsia" w:ascii="楷体_GB2312" w:eastAsia="楷体_GB2312"/>
          <w:b/>
          <w:sz w:val="30"/>
          <w:szCs w:val="36"/>
        </w:rPr>
        <w:t>（表2）</w:t>
      </w:r>
    </w:p>
    <w:tbl>
      <w:tblPr>
        <w:tblStyle w:val="13"/>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625"/>
        <w:gridCol w:w="837"/>
        <w:gridCol w:w="1196"/>
        <w:gridCol w:w="733"/>
        <w:gridCol w:w="733"/>
        <w:gridCol w:w="583"/>
        <w:gridCol w:w="522"/>
        <w:gridCol w:w="3327"/>
        <w:gridCol w:w="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558" w:type="dxa"/>
            <w:gridSpan w:val="10"/>
            <w:noWrap w:val="0"/>
            <w:vAlign w:val="top"/>
          </w:tcPr>
          <w:p>
            <w:pPr>
              <w:ind w:left="108"/>
              <w:rPr>
                <w:rFonts w:hint="eastAsia"/>
              </w:rPr>
            </w:pPr>
            <w:r>
              <w:rPr>
                <w:rFonts w:hint="eastAsia"/>
              </w:rPr>
              <w:t>年度目标1： 以党建为引领，扎实推动财政事务各项业务工作，抓好各项创建工作；2：着力培植税源， 积极组织协 调财政收入足额入库，确保全年税 收任务完成；3：强化惠农政策宣传，确保惠农资金 发放到位。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jc w:val="center"/>
        </w:trPr>
        <w:tc>
          <w:tcPr>
            <w:tcW w:w="843"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70分</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                                </w:t>
            </w:r>
          </w:p>
        </w:tc>
        <w:tc>
          <w:tcPr>
            <w:tcW w:w="6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84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(三级指标)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年初指标值</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年终完成值</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36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产出指标30分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数量指标10分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档案管理</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达标</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三公经费</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2万元</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惠农资金发放</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质量指标7分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档案达标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省一级</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三公经费</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1.7万</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8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惠农资金发放</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时效指标6分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8月</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9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12月底</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资金拨付率</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1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成本指标7分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1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7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0"/>
                <w:szCs w:val="20"/>
                <w:lang w:eastAsia="zh-CN"/>
              </w:rPr>
              <w:t>不超标补贴，有新增申报</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20%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2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效益指标30分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经济效益8分</w:t>
            </w:r>
          </w:p>
        </w:tc>
        <w:tc>
          <w:tcPr>
            <w:tcW w:w="1205" w:type="dxa"/>
            <w:noWrap w:val="0"/>
            <w:vAlign w:val="center"/>
          </w:tcPr>
          <w:p>
            <w:pPr>
              <w:tabs>
                <w:tab w:val="left" w:pos="261"/>
              </w:tabs>
              <w:spacing w:line="300" w:lineRule="exact"/>
              <w:ind w:left="-105" w:leftChars="-50" w:right="-105" w:rightChars="-50"/>
              <w:jc w:val="left"/>
              <w:rPr>
                <w:rFonts w:hint="eastAsia" w:ascii="方正书宋简体" w:eastAsia="方正书宋简体"/>
                <w:sz w:val="22"/>
                <w:szCs w:val="22"/>
                <w:lang w:eastAsia="zh-CN"/>
              </w:rPr>
            </w:pPr>
            <w:r>
              <w:rPr>
                <w:rFonts w:hint="eastAsia" w:ascii="方正书宋简体" w:eastAsia="方正书宋简体"/>
                <w:sz w:val="18"/>
                <w:szCs w:val="18"/>
                <w:lang w:eastAsia="zh-CN"/>
              </w:rPr>
              <w:t>农民收入提高</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4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8"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3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社会效益8分</w:t>
            </w:r>
          </w:p>
        </w:tc>
        <w:tc>
          <w:tcPr>
            <w:tcW w:w="1205" w:type="dxa"/>
            <w:noWrap w:val="0"/>
            <w:vAlign w:val="center"/>
          </w:tcPr>
          <w:p>
            <w:pPr>
              <w:spacing w:line="300" w:lineRule="exact"/>
              <w:ind w:left="-105" w:leftChars="-50" w:right="-105" w:rightChars="-50"/>
              <w:jc w:val="both"/>
              <w:rPr>
                <w:rFonts w:hint="eastAsia" w:ascii="方正书宋简体" w:eastAsia="方正书宋简体"/>
                <w:sz w:val="22"/>
                <w:szCs w:val="22"/>
              </w:rPr>
            </w:pPr>
            <w:r>
              <w:rPr>
                <w:rFonts w:hint="eastAsia" w:ascii="方正书宋简体" w:eastAsia="方正书宋简体"/>
                <w:sz w:val="18"/>
                <w:szCs w:val="18"/>
              </w:rPr>
              <w:t>档案管理 规范，查阅便捷</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6"/>
                <w:szCs w:val="16"/>
                <w:lang w:eastAsia="zh-CN"/>
              </w:rPr>
              <w:t>档管升级，方便查询</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2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21"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生态效益8分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rPr>
              <w:t xml:space="preserve">                                                                                                                       </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2、三级指标分值按三级指标个数平均确定（8分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24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14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right="-105" w:rightChars="-50"/>
              <w:jc w:val="both"/>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种植面积有效利用</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7</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可持续影响6分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提高农民粮食增长</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2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6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服务满意度</w:t>
            </w:r>
          </w:p>
          <w:p>
            <w:pPr>
              <w:spacing w:line="26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10分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服务对象满意度10分</w:t>
            </w: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6"/>
                <w:szCs w:val="16"/>
                <w:lang w:eastAsia="zh-CN"/>
              </w:rPr>
              <w:t>党政机关及部门</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360" w:type="dxa"/>
            <w:vMerge w:val="restart"/>
            <w:noWrap w:val="0"/>
            <w:vAlign w:val="center"/>
          </w:tcPr>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1、提供三级指标满意度的佐证资料；</w:t>
            </w:r>
          </w:p>
          <w:p>
            <w:pPr>
              <w:spacing w:line="22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受益群众</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6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20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18"/>
                <w:szCs w:val="18"/>
                <w:lang w:eastAsia="zh-CN"/>
              </w:rPr>
              <w:t>提高农民满意度和幸福感</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98%</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5" w:type="dxa"/>
          <w:trHeight w:val="360" w:hRule="atLeast"/>
          <w:jc w:val="center"/>
        </w:trPr>
        <w:tc>
          <w:tcPr>
            <w:tcW w:w="843"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合计</w:t>
            </w:r>
          </w:p>
        </w:tc>
        <w:tc>
          <w:tcPr>
            <w:tcW w:w="625"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70</w:t>
            </w:r>
          </w:p>
        </w:tc>
        <w:tc>
          <w:tcPr>
            <w:tcW w:w="840"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70</w:t>
            </w:r>
          </w:p>
        </w:tc>
        <w:tc>
          <w:tcPr>
            <w:tcW w:w="120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525" w:type="dxa"/>
            <w:noWrap w:val="0"/>
            <w:vAlign w:val="top"/>
          </w:tcPr>
          <w:p>
            <w:pPr>
              <w:spacing w:line="300" w:lineRule="exact"/>
              <w:ind w:left="108"/>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66</w:t>
            </w:r>
          </w:p>
        </w:tc>
        <w:tc>
          <w:tcPr>
            <w:tcW w:w="525" w:type="dxa"/>
            <w:noWrap w:val="0"/>
            <w:vAlign w:val="top"/>
          </w:tcPr>
          <w:p>
            <w:pPr>
              <w:spacing w:line="300" w:lineRule="exact"/>
              <w:ind w:left="108"/>
              <w:rPr>
                <w:rFonts w:hint="eastAsia" w:ascii="方正书宋简体" w:eastAsia="方正书宋简体"/>
                <w:sz w:val="22"/>
                <w:szCs w:val="22"/>
              </w:rPr>
            </w:pPr>
          </w:p>
        </w:tc>
        <w:tc>
          <w:tcPr>
            <w:tcW w:w="3360" w:type="dxa"/>
            <w:noWrap w:val="0"/>
            <w:vAlign w:val="top"/>
          </w:tcPr>
          <w:p>
            <w:pPr>
              <w:spacing w:line="300" w:lineRule="exact"/>
              <w:ind w:left="108"/>
              <w:rPr>
                <w:rFonts w:hint="eastAsia" w:ascii="方正书宋简体" w:eastAsia="方正书宋简体"/>
                <w:sz w:val="22"/>
                <w:szCs w:val="22"/>
              </w:rPr>
            </w:pPr>
          </w:p>
        </w:tc>
      </w:tr>
    </w:tbl>
    <w:p>
      <w:pPr>
        <w:spacing w:line="320" w:lineRule="exact"/>
        <w:rPr>
          <w:rFonts w:hint="eastAsia"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hint="eastAsia"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hint="eastAsia"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hint="eastAsia"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hint="eastAsia" w:ascii="方正书宋简体" w:eastAsia="方正书宋简体"/>
          <w:sz w:val="32"/>
          <w:szCs w:val="32"/>
        </w:rPr>
      </w:pPr>
      <w:r>
        <w:rPr>
          <w:rFonts w:hint="eastAsia" w:ascii="方正书宋简体" w:eastAsia="方正书宋简体"/>
          <w:sz w:val="18"/>
          <w:szCs w:val="18"/>
        </w:rPr>
        <w:t>5、年度目标取值：分别对每个“年度目标”进行评价计分，然后再平均计算。例：某部门有三个“年度目标”，目标1自评68分，目标2自评63分，目标3自评59分，该部门年度目标得分为：（68+63+59）</w:t>
      </w:r>
      <w:r>
        <w:rPr>
          <w:rFonts w:hint="eastAsia"/>
          <w:color w:val="000000"/>
          <w:sz w:val="18"/>
          <w:szCs w:val="18"/>
        </w:rPr>
        <w:t>÷3＝63.3分，四舍五入计63分。</w:t>
      </w:r>
    </w:p>
    <w:p>
      <w:pPr>
        <w:rPr>
          <w:rFonts w:hint="eastAsia" w:ascii="仿宋_GB2312" w:eastAsia="仿宋_GB2312"/>
          <w:b/>
          <w:sz w:val="32"/>
          <w:szCs w:val="32"/>
        </w:rPr>
      </w:pPr>
      <w:r>
        <w:rPr>
          <w:rFonts w:hint="eastAsia" w:ascii="仿宋_GB2312" w:eastAsia="仿宋_GB2312"/>
          <w:b/>
          <w:sz w:val="32"/>
          <w:szCs w:val="32"/>
        </w:rPr>
        <w:t>附件2：</w:t>
      </w:r>
    </w:p>
    <w:p>
      <w:pPr>
        <w:jc w:val="center"/>
        <w:rPr>
          <w:rFonts w:hint="eastAsia" w:ascii="方正小标宋简体" w:eastAsia="方正小标宋简体"/>
          <w:sz w:val="44"/>
          <w:szCs w:val="44"/>
        </w:rPr>
      </w:pPr>
      <w:r>
        <w:rPr>
          <w:rFonts w:hint="eastAsia" w:ascii="方正小标宋简体" w:eastAsia="方正小标宋简体"/>
          <w:sz w:val="44"/>
          <w:szCs w:val="44"/>
        </w:rPr>
        <w:t>广水市财政预算支出项目绩效目标自评表</w:t>
      </w:r>
    </w:p>
    <w:p>
      <w:pPr>
        <w:rPr>
          <w:rFonts w:hint="eastAsia" w:ascii="方正书宋简体" w:eastAsia="方正书宋简体"/>
          <w:sz w:val="26"/>
          <w:szCs w:val="28"/>
          <w:lang w:eastAsia="zh-CN"/>
        </w:rPr>
      </w:pPr>
      <w:r>
        <w:rPr>
          <w:rFonts w:hint="eastAsia" w:ascii="方正书宋简体" w:eastAsia="方正书宋简体"/>
          <w:sz w:val="26"/>
          <w:szCs w:val="28"/>
        </w:rPr>
        <w:t>填报日期：</w:t>
      </w:r>
      <w:r>
        <w:rPr>
          <w:rFonts w:hint="eastAsia" w:ascii="方正书宋简体" w:eastAsia="方正书宋简体"/>
          <w:sz w:val="26"/>
          <w:szCs w:val="28"/>
          <w:lang w:val="en-US" w:eastAsia="zh-CN"/>
        </w:rPr>
        <w:t>2022</w:t>
      </w:r>
      <w:r>
        <w:rPr>
          <w:rFonts w:hint="eastAsia" w:ascii="方正书宋简体" w:eastAsia="方正书宋简体"/>
          <w:sz w:val="26"/>
          <w:szCs w:val="28"/>
        </w:rPr>
        <w:t>年</w:t>
      </w:r>
      <w:r>
        <w:rPr>
          <w:rFonts w:hint="eastAsia" w:ascii="方正书宋简体" w:eastAsia="方正书宋简体"/>
          <w:sz w:val="26"/>
          <w:szCs w:val="28"/>
          <w:lang w:val="en-US" w:eastAsia="zh-CN"/>
        </w:rPr>
        <w:t>6</w:t>
      </w:r>
      <w:r>
        <w:rPr>
          <w:rFonts w:hint="eastAsia" w:ascii="方正书宋简体" w:eastAsia="方正书宋简体"/>
          <w:sz w:val="26"/>
          <w:szCs w:val="28"/>
        </w:rPr>
        <w:t>月</w:t>
      </w:r>
      <w:r>
        <w:rPr>
          <w:rFonts w:hint="eastAsia" w:ascii="方正书宋简体" w:eastAsia="方正书宋简体"/>
          <w:sz w:val="26"/>
          <w:szCs w:val="28"/>
          <w:lang w:val="en-US" w:eastAsia="zh-CN"/>
        </w:rPr>
        <w:t>28</w:t>
      </w:r>
      <w:r>
        <w:rPr>
          <w:rFonts w:hint="eastAsia" w:ascii="方正书宋简体" w:eastAsia="方正书宋简体"/>
          <w:sz w:val="26"/>
          <w:szCs w:val="28"/>
        </w:rPr>
        <w:t>日   自评总分：</w:t>
      </w:r>
      <w:r>
        <w:rPr>
          <w:rFonts w:hint="eastAsia" w:ascii="方正书宋简体" w:eastAsia="方正书宋简体"/>
          <w:sz w:val="26"/>
          <w:szCs w:val="28"/>
          <w:lang w:val="en-US" w:eastAsia="zh-CN"/>
        </w:rPr>
        <w:t>96</w:t>
      </w:r>
      <w:r>
        <w:rPr>
          <w:rFonts w:hint="eastAsia" w:ascii="方正书宋简体" w:eastAsia="方正书宋简体"/>
          <w:sz w:val="26"/>
          <w:szCs w:val="28"/>
        </w:rPr>
        <w:t xml:space="preserve">   单位领导审签：</w:t>
      </w:r>
      <w:r>
        <w:rPr>
          <w:rFonts w:hint="eastAsia" w:ascii="方正书宋简体" w:eastAsia="方正书宋简体"/>
          <w:sz w:val="26"/>
          <w:szCs w:val="28"/>
          <w:lang w:eastAsia="zh-CN"/>
        </w:rPr>
        <w:t>明润杰</w:t>
      </w:r>
    </w:p>
    <w:tbl>
      <w:tblPr>
        <w:tblStyle w:val="13"/>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210"/>
        <w:gridCol w:w="945"/>
        <w:gridCol w:w="212"/>
        <w:gridCol w:w="838"/>
        <w:gridCol w:w="211"/>
        <w:gridCol w:w="538"/>
        <w:gridCol w:w="7"/>
        <w:gridCol w:w="191"/>
        <w:gridCol w:w="630"/>
        <w:gridCol w:w="210"/>
        <w:gridCol w:w="1050"/>
        <w:gridCol w:w="104"/>
        <w:gridCol w:w="1051"/>
        <w:gridCol w:w="105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项目名称</w:t>
            </w:r>
          </w:p>
        </w:tc>
        <w:tc>
          <w:tcPr>
            <w:tcW w:w="2961" w:type="dxa"/>
            <w:gridSpan w:val="7"/>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新增资产</w:t>
            </w:r>
          </w:p>
        </w:tc>
        <w:tc>
          <w:tcPr>
            <w:tcW w:w="2185" w:type="dxa"/>
            <w:gridSpan w:val="5"/>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项目实施单位</w:t>
            </w:r>
          </w:p>
        </w:tc>
        <w:tc>
          <w:tcPr>
            <w:tcW w:w="2836" w:type="dxa"/>
            <w:gridSpan w:val="3"/>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rPr>
              <w:t>广水市</w:t>
            </w:r>
            <w:r>
              <w:rPr>
                <w:rFonts w:hint="eastAsia" w:ascii="方正书宋简体" w:eastAsia="方正书宋简体"/>
                <w:sz w:val="22"/>
                <w:szCs w:val="22"/>
                <w:lang w:eastAsia="zh-CN"/>
              </w:rPr>
              <w:t>三潭财政所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项目主管单位</w:t>
            </w:r>
          </w:p>
        </w:tc>
        <w:tc>
          <w:tcPr>
            <w:tcW w:w="2954" w:type="dxa"/>
            <w:gridSpan w:val="6"/>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rPr>
              <w:t>广水市</w:t>
            </w:r>
            <w:r>
              <w:rPr>
                <w:rFonts w:hint="eastAsia" w:ascii="方正书宋简体" w:eastAsia="方正书宋简体"/>
                <w:sz w:val="22"/>
                <w:szCs w:val="22"/>
                <w:lang w:eastAsia="zh-CN"/>
              </w:rPr>
              <w:t>三潭财政所</w:t>
            </w:r>
          </w:p>
        </w:tc>
        <w:tc>
          <w:tcPr>
            <w:tcW w:w="2192" w:type="dxa"/>
            <w:gridSpan w:val="6"/>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项目负责人</w:t>
            </w:r>
          </w:p>
        </w:tc>
        <w:tc>
          <w:tcPr>
            <w:tcW w:w="2836" w:type="dxa"/>
            <w:gridSpan w:val="3"/>
            <w:noWrap w:val="0"/>
            <w:vAlign w:val="center"/>
          </w:tcPr>
          <w:p>
            <w:pPr>
              <w:spacing w:line="400" w:lineRule="exact"/>
              <w:jc w:val="center"/>
              <w:rPr>
                <w:rFonts w:hint="eastAsia" w:ascii="方正书宋简体" w:eastAsia="方正书宋简体"/>
                <w:sz w:val="22"/>
                <w:szCs w:val="22"/>
                <w:lang w:eastAsia="zh-CN"/>
              </w:rPr>
            </w:pPr>
            <w:r>
              <w:rPr>
                <w:rFonts w:hint="eastAsia" w:ascii="方正书宋简体" w:eastAsia="方正书宋简体"/>
                <w:sz w:val="22"/>
                <w:szCs w:val="22"/>
                <w:lang w:val="en-US" w:eastAsia="zh-CN"/>
              </w:rPr>
              <w:t>明润杰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项目属性</w:t>
            </w:r>
          </w:p>
        </w:tc>
        <w:tc>
          <w:tcPr>
            <w:tcW w:w="7982" w:type="dxa"/>
            <w:gridSpan w:val="15"/>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1、常年性</w:t>
            </w:r>
            <w:r>
              <w:rPr>
                <w:rFonts w:hint="eastAsia"/>
                <w:sz w:val="22"/>
                <w:szCs w:val="22"/>
              </w:rPr>
              <w:t>□</w:t>
            </w:r>
            <w:r>
              <w:rPr>
                <w:rFonts w:hint="eastAsia" w:ascii="方正书宋简体" w:eastAsia="方正书宋简体"/>
                <w:sz w:val="22"/>
                <w:szCs w:val="22"/>
              </w:rPr>
              <w:t xml:space="preserve">  2、延续性</w:t>
            </w:r>
            <w:r>
              <w:rPr>
                <w:rFonts w:hint="eastAsia"/>
                <w:sz w:val="22"/>
                <w:szCs w:val="22"/>
                <w:lang w:eastAsia="zh-CN"/>
              </w:rPr>
              <w:t>☑</w:t>
            </w:r>
            <w:r>
              <w:rPr>
                <w:rFonts w:hint="eastAsia" w:ascii="方正书宋简体" w:eastAsia="方正书宋简体"/>
                <w:sz w:val="22"/>
                <w:szCs w:val="22"/>
              </w:rPr>
              <w:t xml:space="preserve">  3、一次性</w:t>
            </w:r>
            <w:r>
              <w:rPr>
                <w:rFonts w:hint="eastAsia"/>
                <w:sz w:val="22"/>
                <w:szCs w:val="22"/>
              </w:rPr>
              <w:t>□</w:t>
            </w:r>
            <w:r>
              <w:rPr>
                <w:rFonts w:hint="eastAsia" w:ascii="方正书宋简体" w:eastAsia="方正书宋简体"/>
                <w:sz w:val="22"/>
                <w:szCs w:val="22"/>
              </w:rPr>
              <w:t xml:space="preserve">  4、新增性</w:t>
            </w:r>
            <w:r>
              <w:rPr>
                <w:rFonts w:hint="eastAsia"/>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71" w:type="dxa"/>
            <w:vMerge w:val="restart"/>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项目资金</w:t>
            </w:r>
          </w:p>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来源</w:t>
            </w:r>
          </w:p>
        </w:tc>
        <w:tc>
          <w:tcPr>
            <w:tcW w:w="1155"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中央  （万元）</w:t>
            </w:r>
          </w:p>
        </w:tc>
        <w:tc>
          <w:tcPr>
            <w:tcW w:w="1261" w:type="dxa"/>
            <w:gridSpan w:val="3"/>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省、地</w:t>
            </w:r>
          </w:p>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（万元）</w:t>
            </w:r>
          </w:p>
        </w:tc>
        <w:tc>
          <w:tcPr>
            <w:tcW w:w="1366" w:type="dxa"/>
            <w:gridSpan w:val="4"/>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本级    （万元）</w:t>
            </w:r>
          </w:p>
        </w:tc>
        <w:tc>
          <w:tcPr>
            <w:tcW w:w="1260"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其他   （万元）</w:t>
            </w:r>
          </w:p>
        </w:tc>
        <w:tc>
          <w:tcPr>
            <w:tcW w:w="1155" w:type="dxa"/>
            <w:gridSpan w:val="2"/>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合计  （万元）</w:t>
            </w:r>
          </w:p>
        </w:tc>
        <w:tc>
          <w:tcPr>
            <w:tcW w:w="1050"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执行数（万元）</w:t>
            </w:r>
          </w:p>
        </w:tc>
        <w:tc>
          <w:tcPr>
            <w:tcW w:w="735"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71" w:type="dxa"/>
            <w:vMerge w:val="continue"/>
            <w:noWrap w:val="0"/>
            <w:vAlign w:val="center"/>
          </w:tcPr>
          <w:p>
            <w:pPr>
              <w:spacing w:line="400" w:lineRule="exact"/>
              <w:jc w:val="center"/>
              <w:rPr>
                <w:rFonts w:hint="eastAsia" w:ascii="方正书宋简体" w:eastAsia="方正书宋简体"/>
                <w:sz w:val="22"/>
                <w:szCs w:val="22"/>
              </w:rPr>
            </w:pPr>
          </w:p>
        </w:tc>
        <w:tc>
          <w:tcPr>
            <w:tcW w:w="1155" w:type="dxa"/>
            <w:gridSpan w:val="2"/>
            <w:noWrap w:val="0"/>
            <w:vAlign w:val="center"/>
          </w:tcPr>
          <w:p>
            <w:pPr>
              <w:spacing w:line="400" w:lineRule="exact"/>
              <w:jc w:val="center"/>
              <w:rPr>
                <w:rFonts w:hint="eastAsia" w:ascii="方正书宋简体" w:eastAsia="方正书宋简体"/>
                <w:sz w:val="22"/>
                <w:szCs w:val="22"/>
              </w:rPr>
            </w:pPr>
          </w:p>
        </w:tc>
        <w:tc>
          <w:tcPr>
            <w:tcW w:w="1261" w:type="dxa"/>
            <w:gridSpan w:val="3"/>
            <w:noWrap w:val="0"/>
            <w:vAlign w:val="center"/>
          </w:tcPr>
          <w:p>
            <w:pPr>
              <w:spacing w:line="400" w:lineRule="exact"/>
              <w:jc w:val="center"/>
              <w:rPr>
                <w:rFonts w:hint="eastAsia" w:ascii="方正书宋简体" w:eastAsia="方正书宋简体"/>
                <w:sz w:val="22"/>
                <w:szCs w:val="22"/>
              </w:rPr>
            </w:pPr>
          </w:p>
        </w:tc>
        <w:tc>
          <w:tcPr>
            <w:tcW w:w="1366" w:type="dxa"/>
            <w:gridSpan w:val="4"/>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1260" w:type="dxa"/>
            <w:gridSpan w:val="2"/>
            <w:noWrap w:val="0"/>
            <w:vAlign w:val="center"/>
          </w:tcPr>
          <w:p>
            <w:pPr>
              <w:spacing w:line="400" w:lineRule="exact"/>
              <w:jc w:val="center"/>
              <w:rPr>
                <w:rFonts w:hint="eastAsia" w:ascii="方正书宋简体" w:eastAsia="方正书宋简体"/>
                <w:sz w:val="22"/>
                <w:szCs w:val="22"/>
              </w:rPr>
            </w:pPr>
          </w:p>
        </w:tc>
        <w:tc>
          <w:tcPr>
            <w:tcW w:w="1155" w:type="dxa"/>
            <w:gridSpan w:val="2"/>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1050" w:type="dxa"/>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0.79万元</w:t>
            </w:r>
          </w:p>
        </w:tc>
        <w:tc>
          <w:tcPr>
            <w:tcW w:w="735" w:type="dxa"/>
            <w:noWrap w:val="0"/>
            <w:vAlign w:val="center"/>
          </w:tcPr>
          <w:p>
            <w:pPr>
              <w:spacing w:line="400" w:lineRule="exact"/>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471" w:type="dxa"/>
            <w:noWrap w:val="0"/>
            <w:vAlign w:val="center"/>
          </w:tcPr>
          <w:p>
            <w:pPr>
              <w:spacing w:line="400" w:lineRule="exact"/>
              <w:jc w:val="center"/>
              <w:rPr>
                <w:rFonts w:hint="eastAsia" w:ascii="方正书宋简体" w:eastAsia="方正书宋简体"/>
                <w:sz w:val="22"/>
                <w:szCs w:val="22"/>
              </w:rPr>
            </w:pPr>
            <w:r>
              <w:rPr>
                <w:rFonts w:hint="eastAsia" w:ascii="方正书宋简体" w:eastAsia="方正书宋简体"/>
                <w:sz w:val="22"/>
                <w:szCs w:val="22"/>
              </w:rPr>
              <w:t>项目年度目标</w:t>
            </w:r>
          </w:p>
        </w:tc>
        <w:tc>
          <w:tcPr>
            <w:tcW w:w="7982" w:type="dxa"/>
            <w:gridSpan w:val="15"/>
            <w:noWrap w:val="0"/>
            <w:vAlign w:val="center"/>
          </w:tcPr>
          <w:p>
            <w:pPr>
              <w:spacing w:line="400" w:lineRule="exact"/>
              <w:rPr>
                <w:rFonts w:hint="eastAsia" w:ascii="方正书宋简体" w:eastAsia="方正书宋简体"/>
                <w:sz w:val="22"/>
                <w:szCs w:val="22"/>
              </w:rPr>
            </w:pPr>
            <w:r>
              <w:rPr>
                <w:rFonts w:hint="eastAsia" w:ascii="方正书宋简体" w:eastAsia="方正书宋简体"/>
                <w:sz w:val="22"/>
                <w:szCs w:val="22"/>
              </w:rPr>
              <w:t>1.完成采购资金 0.79 万元，保证财政所办公环境规范化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681" w:type="dxa"/>
            <w:gridSpan w:val="2"/>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项目权重</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评价内容</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分值</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990" w:type="dxa"/>
            <w:gridSpan w:val="5"/>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评价标准及依据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1681" w:type="dxa"/>
            <w:gridSpan w:val="2"/>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项目决策2分</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决策依据</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2</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left="-105" w:leftChars="-50" w:right="-105" w:rightChars="-50" w:firstLine="100" w:firstLineChars="50"/>
              <w:rPr>
                <w:rFonts w:hint="eastAsia" w:ascii="方正书宋简体" w:eastAsia="方正书宋简体"/>
                <w:sz w:val="20"/>
                <w:szCs w:val="20"/>
              </w:rPr>
            </w:pPr>
            <w:r>
              <w:rPr>
                <w:rFonts w:hint="eastAsia" w:ascii="方正书宋简体" w:eastAsia="方正书宋简体"/>
                <w:sz w:val="20"/>
                <w:szCs w:val="20"/>
              </w:rPr>
              <w:t>有项目年度工作计划或有上级文件或审批报告计2分，没有不得分。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681" w:type="dxa"/>
            <w:gridSpan w:val="2"/>
            <w:vMerge w:val="restart"/>
            <w:noWrap w:val="0"/>
            <w:vAlign w:val="center"/>
          </w:tcPr>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项目管理</w:t>
            </w:r>
          </w:p>
          <w:p>
            <w:pPr>
              <w:spacing w:line="300" w:lineRule="exact"/>
              <w:jc w:val="center"/>
              <w:rPr>
                <w:rFonts w:hint="eastAsia" w:ascii="方正书宋简体" w:eastAsia="方正书宋简体"/>
                <w:sz w:val="22"/>
                <w:szCs w:val="22"/>
              </w:rPr>
            </w:pPr>
            <w:r>
              <w:rPr>
                <w:rFonts w:hint="eastAsia" w:ascii="方正书宋简体" w:eastAsia="方正书宋简体"/>
                <w:sz w:val="22"/>
                <w:szCs w:val="22"/>
              </w:rPr>
              <w:t>13分</w:t>
            </w: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财务制度</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3</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top"/>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1、单位财务管理制度1分；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2、项目管理制度1分；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3、有制度执行佐证资料1分。没有不得分。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组织机构</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2</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有明确的绩效管理机构或专人负责2分。没有不得分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运行监管</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4</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1、运行监管记录3分；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2、填报《项目支出绩效监控表》1分。没有不得分。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681" w:type="dxa"/>
            <w:gridSpan w:val="2"/>
            <w:vMerge w:val="continue"/>
            <w:noWrap w:val="0"/>
            <w:vAlign w:val="center"/>
          </w:tcPr>
          <w:p>
            <w:pPr>
              <w:spacing w:line="300" w:lineRule="exact"/>
              <w:jc w:val="center"/>
              <w:rPr>
                <w:rFonts w:hint="eastAsia" w:ascii="方正书宋简体" w:eastAsia="方正书宋简体"/>
                <w:sz w:val="22"/>
                <w:szCs w:val="22"/>
              </w:rPr>
            </w:pPr>
          </w:p>
        </w:tc>
        <w:tc>
          <w:tcPr>
            <w:tcW w:w="1157"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目标申报</w:t>
            </w:r>
          </w:p>
        </w:tc>
        <w:tc>
          <w:tcPr>
            <w:tcW w:w="838"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4</w:t>
            </w:r>
          </w:p>
        </w:tc>
        <w:tc>
          <w:tcPr>
            <w:tcW w:w="947" w:type="dxa"/>
            <w:gridSpan w:val="4"/>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840" w:type="dxa"/>
            <w:gridSpan w:val="2"/>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3990" w:type="dxa"/>
            <w:gridSpan w:val="5"/>
            <w:noWrap w:val="0"/>
            <w:vAlign w:val="center"/>
          </w:tcPr>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1、项目绩效目标全申报的1分，缺一项扣0.5分，扣完为止；</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2、绩效目标规范1分，不规范扣0.5分；</w:t>
            </w:r>
          </w:p>
          <w:p>
            <w:pPr>
              <w:spacing w:line="300" w:lineRule="exact"/>
              <w:ind w:right="-105" w:rightChars="-50"/>
              <w:rPr>
                <w:rFonts w:hint="eastAsia" w:ascii="方正书宋简体" w:eastAsia="方正书宋简体"/>
                <w:sz w:val="20"/>
                <w:szCs w:val="20"/>
              </w:rPr>
            </w:pPr>
            <w:r>
              <w:rPr>
                <w:rFonts w:hint="eastAsia" w:ascii="方正书宋简体" w:eastAsia="方正书宋简体"/>
                <w:sz w:val="20"/>
                <w:szCs w:val="20"/>
              </w:rPr>
              <w:t>3、按时申报绩效目标计2分，逾期扣1分。</w:t>
            </w:r>
          </w:p>
        </w:tc>
      </w:tr>
    </w:tbl>
    <w:p>
      <w:pPr>
        <w:spacing w:line="100" w:lineRule="exact"/>
        <w:rPr>
          <w:rFonts w:hint="eastAsia"/>
        </w:rPr>
      </w:pPr>
    </w:p>
    <w:tbl>
      <w:tblPr>
        <w:tblStyle w:val="13"/>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625"/>
        <w:gridCol w:w="837"/>
        <w:gridCol w:w="1359"/>
        <w:gridCol w:w="733"/>
        <w:gridCol w:w="733"/>
        <w:gridCol w:w="583"/>
        <w:gridCol w:w="522"/>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642" w:type="dxa"/>
            <w:gridSpan w:val="9"/>
            <w:noWrap w:val="0"/>
            <w:vAlign w:val="top"/>
          </w:tcPr>
          <w:p>
            <w:pPr>
              <w:ind w:left="108"/>
              <w:rPr>
                <w:rFonts w:hint="eastAsia"/>
              </w:rPr>
            </w:pPr>
            <w:r>
              <w:rPr>
                <w:rFonts w:hint="eastAsia"/>
              </w:rPr>
              <w:t>项目年度目标1： 完成采购资金 0.79 万元，保证财政所办公环境规范化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项目</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绩效</w:t>
            </w:r>
          </w:p>
          <w:p>
            <w:pPr>
              <w:spacing w:line="300" w:lineRule="exact"/>
              <w:ind w:left="-105" w:leftChars="-50" w:right="-105" w:rightChars="-50"/>
              <w:jc w:val="center"/>
              <w:rPr>
                <w:rFonts w:ascii="方正书宋简体" w:eastAsia="方正书宋简体"/>
                <w:sz w:val="22"/>
                <w:szCs w:val="22"/>
              </w:rPr>
            </w:pPr>
            <w:r>
              <w:rPr>
                <w:rFonts w:hint="eastAsia" w:ascii="方正书宋简体" w:eastAsia="方正书宋简体"/>
                <w:sz w:val="22"/>
                <w:szCs w:val="22"/>
              </w:rPr>
              <w:t>85分</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                                </w:t>
            </w:r>
          </w:p>
        </w:tc>
        <w:tc>
          <w:tcPr>
            <w:tcW w:w="6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一级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84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二级</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指标名称</w:t>
            </w:r>
          </w:p>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（三级指标）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年初指标值</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年终完成值</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自评分</w:t>
            </w:r>
          </w:p>
        </w:tc>
        <w:tc>
          <w:tcPr>
            <w:tcW w:w="52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复核分</w:t>
            </w:r>
          </w:p>
        </w:tc>
        <w:tc>
          <w:tcPr>
            <w:tcW w:w="3444"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产出指标40分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数量指标15分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新增惠普激光打印机</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1台</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1、提供三级指标完成程度的佐证资料；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2、三级指标分值按三级指标个数平均确定（15分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新增惠普打印一体机</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1台</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新增办公桌椅</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1套</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新增三人沙发</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1套</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3</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质量指标12分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办公用打印机设备</w:t>
            </w:r>
          </w:p>
        </w:tc>
        <w:tc>
          <w:tcPr>
            <w:tcW w:w="735" w:type="dxa"/>
            <w:noWrap w:val="0"/>
            <w:vAlign w:val="center"/>
          </w:tcPr>
          <w:p>
            <w:pPr>
              <w:keepNext w:val="0"/>
              <w:keepLines w:val="0"/>
              <w:widowControl/>
              <w:suppressLineNumbers w:val="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通用</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4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1、提供三级指标完成质量的佐证资料；</w:t>
            </w:r>
          </w:p>
          <w:p>
            <w:pPr>
              <w:spacing w:line="24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2、三级指标分值按三级指标个数平均确定（12分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办公桌椅沙发参数</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标配</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时效指标6分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lang w:eastAsia="zh-CN"/>
              </w:rPr>
            </w:pPr>
            <w:r>
              <w:rPr>
                <w:rFonts w:hint="eastAsia" w:ascii="方正书宋简体" w:eastAsia="方正书宋简体"/>
                <w:sz w:val="22"/>
                <w:szCs w:val="22"/>
                <w:lang w:eastAsia="zh-CN"/>
              </w:rPr>
              <w:t>完成时间</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2021 年 4 月</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6</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1、提供三级指标完成时效的佐证资料；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2、三级指标分值按三级指标个数平均确定（6分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成本指标7分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惠普激光打印机</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2300</w:t>
            </w:r>
          </w:p>
        </w:tc>
        <w:tc>
          <w:tcPr>
            <w:tcW w:w="735" w:type="dxa"/>
            <w:noWrap w:val="0"/>
            <w:vAlign w:val="center"/>
          </w:tcPr>
          <w:p>
            <w:pPr>
              <w:spacing w:line="300" w:lineRule="exact"/>
              <w:ind w:left="-105" w:leftChars="-50" w:right="-105" w:rightChars="-50"/>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1、提供三级指标完成成本的佐证资料；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2、三级指标分值按三级指标个数平均确定（7分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18"/>
                <w:szCs w:val="18"/>
              </w:rPr>
              <w:t>惠普打印一体机</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2500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keepNext w:val="0"/>
              <w:keepLines w:val="0"/>
              <w:widowControl/>
              <w:suppressLineNumbers w:val="0"/>
              <w:jc w:val="left"/>
              <w:rPr>
                <w:rFonts w:hint="eastAsia" w:ascii="方正书宋简体" w:eastAsia="方正书宋简体"/>
                <w:sz w:val="22"/>
                <w:szCs w:val="22"/>
              </w:rPr>
            </w:pPr>
            <w:r>
              <w:rPr>
                <w:rFonts w:hint="eastAsia" w:ascii="方正书宋简体" w:eastAsia="方正书宋简体"/>
                <w:sz w:val="22"/>
                <w:szCs w:val="22"/>
              </w:rPr>
              <w:t>办公桌椅</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600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2</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keepNext w:val="0"/>
              <w:keepLines w:val="0"/>
              <w:widowControl/>
              <w:suppressLineNumbers w:val="0"/>
              <w:jc w:val="left"/>
              <w:rPr>
                <w:rFonts w:hint="eastAsia" w:ascii="方正书宋简体" w:eastAsia="方正书宋简体"/>
                <w:sz w:val="22"/>
                <w:szCs w:val="22"/>
              </w:rPr>
            </w:pPr>
            <w:r>
              <w:rPr>
                <w:rFonts w:hint="eastAsia" w:ascii="方正书宋简体" w:eastAsia="方正书宋简体"/>
                <w:sz w:val="22"/>
                <w:szCs w:val="22"/>
              </w:rPr>
              <w:t>三人沙发</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2500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1</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效益指标35分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经济效益10分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标准设备配备</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≥95%</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1、提供三级指标实现经济效益的佐证资料；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桌台配备</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≥95%</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社会效益10分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kern w:val="2"/>
                <w:sz w:val="22"/>
                <w:szCs w:val="22"/>
                <w:lang w:val="en-US" w:eastAsia="zh-CN" w:bidi="ar-SA"/>
              </w:rPr>
            </w:pPr>
            <w:r>
              <w:rPr>
                <w:rFonts w:hint="eastAsia" w:ascii="方正书宋简体" w:eastAsia="方正书宋简体"/>
                <w:sz w:val="22"/>
                <w:szCs w:val="22"/>
              </w:rPr>
              <w:t>提高办事效益</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9</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1、提供三级指标实现社会效益的佐证资料；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生态效益10分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rPr>
              <w:t xml:space="preserve">                                                                                                                       </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1、提供三级指标实现生态效益的佐证资料；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可持续影响5分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 xml:space="preserve">打印机设备最低使用年限 </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5年</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5</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1、提供三级指标可持续影响的佐证资料；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2、三级指标分值按三级指标个数平均确定（5分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28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260" w:lineRule="exact"/>
              <w:ind w:left="-105" w:leftChars="-50" w:right="-105" w:rightChars="-50"/>
              <w:rPr>
                <w:rFonts w:hint="eastAsia" w:ascii="方正书宋简体" w:eastAsia="方正书宋简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restart"/>
            <w:noWrap w:val="0"/>
            <w:vAlign w:val="center"/>
          </w:tcPr>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服务满意度</w:t>
            </w:r>
          </w:p>
          <w:p>
            <w:pPr>
              <w:spacing w:line="28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10分</w:t>
            </w:r>
          </w:p>
        </w:tc>
        <w:tc>
          <w:tcPr>
            <w:tcW w:w="840" w:type="dxa"/>
            <w:vMerge w:val="restart"/>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服务对象满意度10分</w:t>
            </w: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提高社会公信度</w:t>
            </w: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lang w:eastAsia="zh-CN"/>
              </w:rPr>
              <w:t>≥</w:t>
            </w:r>
            <w:r>
              <w:rPr>
                <w:rFonts w:hint="eastAsia" w:ascii="方正书宋简体" w:eastAsia="方正书宋简体"/>
                <w:sz w:val="22"/>
                <w:szCs w:val="22"/>
                <w:lang w:val="en-US" w:eastAsia="zh-CN"/>
              </w:rPr>
              <w:t>95%</w:t>
            </w:r>
            <w:r>
              <w:rPr>
                <w:rFonts w:hint="eastAsia" w:ascii="方正书宋简体" w:eastAsia="方正书宋简体"/>
                <w:sz w:val="22"/>
                <w:szCs w:val="22"/>
              </w:rPr>
              <w:t xml:space="preserve">                                         </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3444" w:type="dxa"/>
            <w:vMerge w:val="restart"/>
            <w:noWrap w:val="0"/>
            <w:vAlign w:val="center"/>
          </w:tcPr>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1、提供三级指标满意度的佐证资料；</w:t>
            </w:r>
          </w:p>
          <w:p>
            <w:pPr>
              <w:spacing w:line="260" w:lineRule="exact"/>
              <w:ind w:left="-105" w:leftChars="-50" w:right="-105" w:rightChars="-50"/>
              <w:rPr>
                <w:rFonts w:hint="eastAsia" w:ascii="方正书宋简体" w:eastAsia="方正书宋简体"/>
                <w:sz w:val="18"/>
                <w:szCs w:val="18"/>
              </w:rPr>
            </w:pPr>
            <w:r>
              <w:rPr>
                <w:rFonts w:hint="eastAsia" w:ascii="方正书宋简体" w:eastAsia="方正书宋简体"/>
                <w:sz w:val="18"/>
                <w:szCs w:val="18"/>
              </w:rPr>
              <w:t>2、三级指标分值按三级指标个数平均确定（10分</w:t>
            </w:r>
            <w:r>
              <w:rPr>
                <w:rFonts w:hint="eastAsia"/>
                <w:color w:val="000000"/>
                <w:sz w:val="18"/>
                <w:szCs w:val="18"/>
              </w:rPr>
              <w:t>÷三级</w:t>
            </w:r>
            <w:r>
              <w:rPr>
                <w:rFonts w:hint="eastAsia" w:ascii="方正书宋简体" w:eastAsia="方正书宋简体"/>
                <w:sz w:val="18"/>
                <w:szCs w:val="18"/>
              </w:rPr>
              <w:t>指标个数），四舍五入保留整数。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r>
              <w:rPr>
                <w:rFonts w:hint="eastAsia" w:ascii="方正书宋简体" w:eastAsia="方正书宋简体"/>
                <w:sz w:val="22"/>
                <w:szCs w:val="22"/>
              </w:rPr>
              <w:t>提高办事质量</w:t>
            </w:r>
          </w:p>
        </w:tc>
        <w:tc>
          <w:tcPr>
            <w:tcW w:w="735" w:type="dxa"/>
            <w:noWrap w:val="0"/>
            <w:vAlign w:val="center"/>
          </w:tcPr>
          <w:p>
            <w:pPr>
              <w:spacing w:line="300" w:lineRule="exact"/>
              <w:ind w:left="-105" w:leftChars="-50" w:right="-105" w:rightChars="-50"/>
              <w:jc w:val="center"/>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100%</w:t>
            </w: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r>
              <w:rPr>
                <w:rFonts w:hint="eastAsia" w:ascii="方正书宋简体" w:eastAsia="方正书宋简体"/>
                <w:sz w:val="22"/>
                <w:szCs w:val="22"/>
                <w:lang w:val="en-US" w:eastAsia="zh-CN"/>
              </w:rPr>
              <w:t>100%</w:t>
            </w:r>
          </w:p>
        </w:tc>
        <w:tc>
          <w:tcPr>
            <w:tcW w:w="525" w:type="dxa"/>
            <w:noWrap w:val="0"/>
            <w:vAlign w:val="center"/>
          </w:tcPr>
          <w:p>
            <w:pPr>
              <w:spacing w:line="300" w:lineRule="exact"/>
              <w:ind w:left="-105" w:leftChars="-50" w:right="-105" w:rightChars="-50"/>
              <w:rPr>
                <w:rFonts w:hint="eastAsia" w:ascii="方正书宋简体" w:eastAsia="方正书宋简体"/>
                <w:sz w:val="22"/>
                <w:szCs w:val="22"/>
                <w:lang w:val="en-US" w:eastAsia="zh-CN"/>
              </w:rPr>
            </w:pPr>
            <w:r>
              <w:rPr>
                <w:rFonts w:hint="eastAsia" w:ascii="方正书宋简体" w:eastAsia="方正书宋简体"/>
                <w:sz w:val="22"/>
                <w:szCs w:val="22"/>
                <w:lang w:val="en-US" w:eastAsia="zh-CN"/>
              </w:rPr>
              <w:t>4</w:t>
            </w: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43"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625"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840" w:type="dxa"/>
            <w:vMerge w:val="continue"/>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1370"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jc w:val="center"/>
              <w:rPr>
                <w:rFonts w:hint="eastAsia" w:ascii="方正书宋简体" w:eastAsia="方正书宋简体"/>
                <w:sz w:val="22"/>
                <w:szCs w:val="22"/>
              </w:rPr>
            </w:pPr>
          </w:p>
        </w:tc>
        <w:tc>
          <w:tcPr>
            <w:tcW w:w="73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525" w:type="dxa"/>
            <w:noWrap w:val="0"/>
            <w:vAlign w:val="center"/>
          </w:tcPr>
          <w:p>
            <w:pPr>
              <w:spacing w:line="300" w:lineRule="exact"/>
              <w:ind w:left="-105" w:leftChars="-50" w:right="-105" w:rightChars="-50"/>
              <w:rPr>
                <w:rFonts w:hint="eastAsia" w:ascii="方正书宋简体" w:eastAsia="方正书宋简体"/>
                <w:sz w:val="22"/>
                <w:szCs w:val="22"/>
              </w:rPr>
            </w:pPr>
          </w:p>
        </w:tc>
        <w:tc>
          <w:tcPr>
            <w:tcW w:w="0" w:type="auto"/>
            <w:vMerge w:val="continue"/>
            <w:noWrap w:val="0"/>
            <w:vAlign w:val="center"/>
          </w:tcPr>
          <w:p>
            <w:pPr>
              <w:spacing w:line="300" w:lineRule="exact"/>
              <w:ind w:left="-105" w:leftChars="-50" w:right="-105" w:rightChars="-50"/>
              <w:rPr>
                <w:rFonts w:hint="eastAsia" w:ascii="方正书宋简体" w:eastAsia="方正书宋简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43"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合计</w:t>
            </w:r>
          </w:p>
        </w:tc>
        <w:tc>
          <w:tcPr>
            <w:tcW w:w="625"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85</w:t>
            </w:r>
          </w:p>
        </w:tc>
        <w:tc>
          <w:tcPr>
            <w:tcW w:w="840" w:type="dxa"/>
            <w:noWrap w:val="0"/>
            <w:vAlign w:val="top"/>
          </w:tcPr>
          <w:p>
            <w:pPr>
              <w:spacing w:line="300" w:lineRule="exact"/>
              <w:ind w:left="108"/>
              <w:rPr>
                <w:rFonts w:hint="eastAsia" w:ascii="方正书宋简体" w:eastAsia="方正书宋简体"/>
                <w:sz w:val="22"/>
                <w:szCs w:val="22"/>
              </w:rPr>
            </w:pPr>
            <w:r>
              <w:rPr>
                <w:rFonts w:hint="eastAsia" w:ascii="方正书宋简体" w:eastAsia="方正书宋简体"/>
                <w:sz w:val="22"/>
                <w:szCs w:val="22"/>
              </w:rPr>
              <w:t>85</w:t>
            </w:r>
          </w:p>
        </w:tc>
        <w:tc>
          <w:tcPr>
            <w:tcW w:w="1370"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735" w:type="dxa"/>
            <w:noWrap w:val="0"/>
            <w:vAlign w:val="top"/>
          </w:tcPr>
          <w:p>
            <w:pPr>
              <w:spacing w:line="300" w:lineRule="exact"/>
              <w:ind w:left="108"/>
              <w:rPr>
                <w:rFonts w:hint="eastAsia" w:ascii="方正书宋简体" w:eastAsia="方正书宋简体"/>
                <w:sz w:val="22"/>
                <w:szCs w:val="22"/>
              </w:rPr>
            </w:pPr>
          </w:p>
        </w:tc>
        <w:tc>
          <w:tcPr>
            <w:tcW w:w="525" w:type="dxa"/>
            <w:noWrap w:val="0"/>
            <w:vAlign w:val="top"/>
          </w:tcPr>
          <w:p>
            <w:pPr>
              <w:spacing w:line="300" w:lineRule="exact"/>
              <w:ind w:left="108"/>
              <w:rPr>
                <w:rFonts w:hint="default" w:ascii="方正书宋简体" w:eastAsia="方正书宋简体"/>
                <w:sz w:val="22"/>
                <w:szCs w:val="22"/>
                <w:lang w:val="en-US" w:eastAsia="zh-CN"/>
              </w:rPr>
            </w:pPr>
            <w:r>
              <w:rPr>
                <w:rFonts w:hint="eastAsia" w:ascii="方正书宋简体" w:eastAsia="方正书宋简体"/>
                <w:sz w:val="22"/>
                <w:szCs w:val="22"/>
                <w:lang w:val="en-US" w:eastAsia="zh-CN"/>
              </w:rPr>
              <w:t>82</w:t>
            </w:r>
          </w:p>
        </w:tc>
        <w:tc>
          <w:tcPr>
            <w:tcW w:w="525" w:type="dxa"/>
            <w:noWrap w:val="0"/>
            <w:vAlign w:val="top"/>
          </w:tcPr>
          <w:p>
            <w:pPr>
              <w:spacing w:line="300" w:lineRule="exact"/>
              <w:ind w:left="108"/>
              <w:rPr>
                <w:rFonts w:hint="eastAsia" w:ascii="方正书宋简体" w:eastAsia="方正书宋简体"/>
                <w:sz w:val="22"/>
                <w:szCs w:val="22"/>
              </w:rPr>
            </w:pPr>
          </w:p>
        </w:tc>
        <w:tc>
          <w:tcPr>
            <w:tcW w:w="3444" w:type="dxa"/>
            <w:noWrap w:val="0"/>
            <w:vAlign w:val="top"/>
          </w:tcPr>
          <w:p>
            <w:pPr>
              <w:spacing w:line="300" w:lineRule="exact"/>
              <w:ind w:left="108"/>
              <w:rPr>
                <w:rFonts w:hint="eastAsia" w:ascii="方正书宋简体" w:eastAsia="方正书宋简体"/>
                <w:sz w:val="22"/>
                <w:szCs w:val="22"/>
              </w:rPr>
            </w:pPr>
          </w:p>
        </w:tc>
      </w:tr>
    </w:tbl>
    <w:p>
      <w:pPr>
        <w:spacing w:line="220" w:lineRule="exact"/>
        <w:rPr>
          <w:rFonts w:hint="eastAsia" w:ascii="方正书宋简体" w:eastAsia="方正书宋简体"/>
          <w:sz w:val="18"/>
          <w:szCs w:val="18"/>
        </w:rPr>
      </w:pPr>
      <w:r>
        <w:rPr>
          <w:rFonts w:hint="eastAsia" w:ascii="方正书宋简体" w:eastAsia="方正书宋简体"/>
          <w:sz w:val="18"/>
          <w:szCs w:val="18"/>
        </w:rPr>
        <w:t>说明：1、指标名称、年初指标值按照绩效目标申报表填写，不得漏项；</w:t>
      </w:r>
    </w:p>
    <w:p>
      <w:pPr>
        <w:spacing w:line="220" w:lineRule="exact"/>
        <w:ind w:left="812" w:leftChars="258" w:hanging="270" w:hangingChars="150"/>
        <w:rPr>
          <w:rFonts w:hint="eastAsia" w:ascii="方正书宋简体" w:eastAsia="方正书宋简体"/>
          <w:sz w:val="18"/>
          <w:szCs w:val="18"/>
        </w:rPr>
      </w:pPr>
      <w:r>
        <w:rPr>
          <w:rFonts w:hint="eastAsia" w:ascii="方正书宋简体" w:eastAsia="方正书宋简体"/>
          <w:sz w:val="18"/>
          <w:szCs w:val="18"/>
        </w:rPr>
        <w:t>2、指标名称分值确定，按指标名称个数平均保留整数，不能保留整数的可自行调整为整数，但各指标名称合计分值不得大于所属二级指标分；</w:t>
      </w:r>
    </w:p>
    <w:p>
      <w:pPr>
        <w:spacing w:line="220" w:lineRule="exact"/>
        <w:ind w:firstLine="540" w:firstLineChars="300"/>
        <w:rPr>
          <w:rFonts w:hint="eastAsia" w:ascii="方正书宋简体" w:eastAsia="方正书宋简体"/>
          <w:sz w:val="18"/>
          <w:szCs w:val="18"/>
        </w:rPr>
      </w:pPr>
      <w:r>
        <w:rPr>
          <w:rFonts w:hint="eastAsia" w:ascii="方正书宋简体" w:eastAsia="方正书宋简体"/>
          <w:sz w:val="18"/>
          <w:szCs w:val="18"/>
        </w:rPr>
        <w:t>3、对定量指标值按实际完成的比例计分值（该项指标名称分值</w:t>
      </w:r>
      <w:r>
        <w:rPr>
          <w:rFonts w:ascii="Arial" w:hAnsi="Arial" w:cs="Arial"/>
          <w:color w:val="333333"/>
          <w:sz w:val="20"/>
          <w:szCs w:val="20"/>
          <w:shd w:val="clear" w:color="auto" w:fill="FFFFFF"/>
        </w:rPr>
        <w:t>×</w:t>
      </w:r>
      <w:r>
        <w:rPr>
          <w:rFonts w:hint="eastAsia" w:ascii="方正书宋简体" w:eastAsia="方正书宋简体"/>
          <w:sz w:val="18"/>
          <w:szCs w:val="18"/>
        </w:rPr>
        <w:t>实际完成的百分比）；</w:t>
      </w:r>
    </w:p>
    <w:p>
      <w:pPr>
        <w:spacing w:line="220" w:lineRule="exact"/>
        <w:ind w:left="808" w:leftChars="256" w:hanging="270" w:hangingChars="150"/>
        <w:rPr>
          <w:rFonts w:hint="eastAsia" w:ascii="方正书宋简体" w:eastAsia="方正书宋简体"/>
          <w:sz w:val="18"/>
          <w:szCs w:val="18"/>
        </w:rPr>
      </w:pPr>
      <w:r>
        <w:rPr>
          <w:rFonts w:hint="eastAsia" w:ascii="方正书宋简体" w:eastAsia="方正书宋简体"/>
          <w:sz w:val="18"/>
          <w:szCs w:val="18"/>
        </w:rPr>
        <w:t>4、对定性指标值计分原则，分为三档：达到预期，部分达到预期有一定效果，未达预期效益差；对应分值区间：100%—81%、80%—51%、50%—0%。</w:t>
      </w:r>
    </w:p>
    <w:p>
      <w:pPr>
        <w:spacing w:line="220" w:lineRule="exact"/>
        <w:ind w:left="808" w:leftChars="256" w:hanging="270" w:hangingChars="150"/>
        <w:rPr>
          <w:rFonts w:hint="eastAsia"/>
          <w:color w:val="000000"/>
          <w:sz w:val="18"/>
          <w:szCs w:val="18"/>
        </w:rPr>
      </w:pPr>
      <w:r>
        <w:rPr>
          <w:rFonts w:hint="eastAsia" w:ascii="方正书宋简体" w:eastAsia="方正书宋简体"/>
          <w:sz w:val="18"/>
          <w:szCs w:val="18"/>
        </w:rPr>
        <w:t>5、项目有多个“年度目标”的，分别对每个“年度目标”进行评价计分，然后再平均计算。例：某项目有三个“年度目标”，目标1自评80分，目标2自评60分，目标3自评75分，该项目绩效得分为：（80+60+75）</w:t>
      </w:r>
      <w:r>
        <w:rPr>
          <w:rFonts w:hint="eastAsia"/>
          <w:color w:val="000000"/>
          <w:sz w:val="18"/>
          <w:szCs w:val="18"/>
        </w:rPr>
        <w:t>÷3＝71.6分，四舍五入计72分。</w:t>
      </w:r>
    </w:p>
    <w:p>
      <w:pPr>
        <w:spacing w:line="520" w:lineRule="exact"/>
        <w:jc w:val="center"/>
        <w:rPr>
          <w:rFonts w:hint="eastAsia" w:ascii="仿宋_GB2312" w:eastAsia="仿宋_GB2312"/>
          <w:sz w:val="28"/>
          <w:szCs w:val="28"/>
        </w:rPr>
      </w:pPr>
    </w:p>
    <w:bookmarkEnd w:id="0"/>
    <w:sectPr>
      <w:footerReference r:id="rId3" w:type="default"/>
      <w:footerReference r:id="rId4" w:type="even"/>
      <w:pgSz w:w="11905" w:h="16838"/>
      <w:pgMar w:top="1984" w:right="1417" w:bottom="1701" w:left="1417" w:header="850" w:footer="141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1" w:usb1="080E0000" w:usb2="0000001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FZFangSong-Z02S">
    <w:altName w:val="宋体"/>
    <w:panose1 w:val="00000000000000000000"/>
    <w:charset w:val="86"/>
    <w:family w:val="decorative"/>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1" w:usb1="080E0000" w:usb2="00000010" w:usb3="00000000" w:csb0="00040000" w:csb1="00000000"/>
  </w:font>
  <w:font w:name="方正书宋简体">
    <w:altName w:val="微软雅黑"/>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right="420" w:rightChars="200"/>
      <w:rPr>
        <w:rStyle w:val="17"/>
        <w:rFonts w:hint="eastAsia" w:ascii="宋体" w:hAnsi="宋体"/>
        <w:sz w:val="28"/>
        <w:szCs w:val="28"/>
      </w:rPr>
    </w:pPr>
    <w:r>
      <w:rPr>
        <w:rStyle w:val="17"/>
        <w:rFonts w:hint="eastAsia" w:ascii="宋体" w:hAnsi="宋体"/>
        <w:sz w:val="28"/>
        <w:szCs w:val="28"/>
      </w:rPr>
      <w:t xml:space="preserve">— </w:t>
    </w: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lang/>
      </w:rPr>
      <w:t>1</w:t>
    </w:r>
    <w:r>
      <w:rPr>
        <w:rFonts w:ascii="宋体" w:hAnsi="宋体"/>
        <w:sz w:val="28"/>
        <w:szCs w:val="28"/>
      </w:rPr>
      <w:fldChar w:fldCharType="end"/>
    </w:r>
    <w:r>
      <w:rPr>
        <w:rStyle w:val="17"/>
        <w:rFonts w:hint="eastAsia" w:ascii="宋体" w:hAnsi="宋体"/>
        <w:sz w:val="28"/>
        <w:szCs w:val="28"/>
      </w:rPr>
      <w:t xml:space="preserve"> —</w:t>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left="420" w:leftChars="200"/>
      <w:rPr>
        <w:rStyle w:val="17"/>
        <w:rFonts w:hint="eastAsia" w:ascii="宋体" w:hAnsi="宋体"/>
        <w:sz w:val="28"/>
        <w:szCs w:val="28"/>
      </w:rPr>
    </w:pPr>
    <w:r>
      <w:rPr>
        <w:rStyle w:val="17"/>
        <w:rFonts w:hint="eastAsia" w:ascii="宋体" w:hAnsi="宋体"/>
        <w:sz w:val="28"/>
        <w:szCs w:val="28"/>
      </w:rPr>
      <w:t xml:space="preserve">— </w:t>
    </w: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lang/>
      </w:rPr>
      <w:t>2</w:t>
    </w:r>
    <w:r>
      <w:rPr>
        <w:rFonts w:ascii="宋体" w:hAnsi="宋体"/>
        <w:sz w:val="28"/>
        <w:szCs w:val="28"/>
      </w:rPr>
      <w:fldChar w:fldCharType="end"/>
    </w:r>
    <w:r>
      <w:rPr>
        <w:rStyle w:val="17"/>
        <w:rFonts w:hint="eastAsia" w:ascii="宋体" w:hAnsi="宋体"/>
        <w:sz w:val="28"/>
        <w:szCs w:val="28"/>
      </w:rPr>
      <w:t xml:space="preserve"> —</w:t>
    </w:r>
  </w:p>
  <w:p>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WJlMzQ0NmQyMjE2Mzg1OGM2YWM4NDk1Y2I2YzY1MzkifQ=="/>
  </w:docVars>
  <w:rsids>
    <w:rsidRoot w:val="00747413"/>
    <w:rsid w:val="00020072"/>
    <w:rsid w:val="0002204F"/>
    <w:rsid w:val="00027B31"/>
    <w:rsid w:val="00051D03"/>
    <w:rsid w:val="00052DA2"/>
    <w:rsid w:val="00073D19"/>
    <w:rsid w:val="0008604D"/>
    <w:rsid w:val="0009625E"/>
    <w:rsid w:val="000C19CC"/>
    <w:rsid w:val="000C760D"/>
    <w:rsid w:val="000E59D2"/>
    <w:rsid w:val="001021BF"/>
    <w:rsid w:val="00104CE7"/>
    <w:rsid w:val="001067BA"/>
    <w:rsid w:val="001130A0"/>
    <w:rsid w:val="001130D6"/>
    <w:rsid w:val="0013673C"/>
    <w:rsid w:val="00140118"/>
    <w:rsid w:val="00140996"/>
    <w:rsid w:val="001510C3"/>
    <w:rsid w:val="00161DF9"/>
    <w:rsid w:val="00167491"/>
    <w:rsid w:val="00174F36"/>
    <w:rsid w:val="00187904"/>
    <w:rsid w:val="00195B93"/>
    <w:rsid w:val="001A5115"/>
    <w:rsid w:val="001C21AF"/>
    <w:rsid w:val="001E3C75"/>
    <w:rsid w:val="001E3D8B"/>
    <w:rsid w:val="001E6D2C"/>
    <w:rsid w:val="001F6E30"/>
    <w:rsid w:val="00225EB8"/>
    <w:rsid w:val="00240C53"/>
    <w:rsid w:val="00241136"/>
    <w:rsid w:val="00256376"/>
    <w:rsid w:val="00257BE3"/>
    <w:rsid w:val="0027038D"/>
    <w:rsid w:val="00272799"/>
    <w:rsid w:val="00285E7D"/>
    <w:rsid w:val="002924D4"/>
    <w:rsid w:val="00294A0B"/>
    <w:rsid w:val="002A2959"/>
    <w:rsid w:val="002A5665"/>
    <w:rsid w:val="002B092F"/>
    <w:rsid w:val="002B4143"/>
    <w:rsid w:val="002C1296"/>
    <w:rsid w:val="002C4CA2"/>
    <w:rsid w:val="002D460E"/>
    <w:rsid w:val="002D6195"/>
    <w:rsid w:val="002D6EAE"/>
    <w:rsid w:val="002E482B"/>
    <w:rsid w:val="002E59DA"/>
    <w:rsid w:val="002F209E"/>
    <w:rsid w:val="002F2234"/>
    <w:rsid w:val="002F2435"/>
    <w:rsid w:val="002F2FB9"/>
    <w:rsid w:val="002F7963"/>
    <w:rsid w:val="00306846"/>
    <w:rsid w:val="00317D46"/>
    <w:rsid w:val="00326487"/>
    <w:rsid w:val="00343711"/>
    <w:rsid w:val="00364F33"/>
    <w:rsid w:val="00371598"/>
    <w:rsid w:val="00382525"/>
    <w:rsid w:val="003876DF"/>
    <w:rsid w:val="00387715"/>
    <w:rsid w:val="003944BA"/>
    <w:rsid w:val="00397785"/>
    <w:rsid w:val="003A285D"/>
    <w:rsid w:val="003B225A"/>
    <w:rsid w:val="003B520F"/>
    <w:rsid w:val="003C425C"/>
    <w:rsid w:val="003C6192"/>
    <w:rsid w:val="003D2152"/>
    <w:rsid w:val="003E2028"/>
    <w:rsid w:val="003E5144"/>
    <w:rsid w:val="003F4DC4"/>
    <w:rsid w:val="003F7E60"/>
    <w:rsid w:val="00410C24"/>
    <w:rsid w:val="0041107C"/>
    <w:rsid w:val="00411669"/>
    <w:rsid w:val="00417FC9"/>
    <w:rsid w:val="004217EC"/>
    <w:rsid w:val="0042483E"/>
    <w:rsid w:val="00434DFA"/>
    <w:rsid w:val="00436B7F"/>
    <w:rsid w:val="0044017F"/>
    <w:rsid w:val="0044292A"/>
    <w:rsid w:val="00446A9E"/>
    <w:rsid w:val="00447519"/>
    <w:rsid w:val="00447DA7"/>
    <w:rsid w:val="0045003A"/>
    <w:rsid w:val="00454987"/>
    <w:rsid w:val="00462CB3"/>
    <w:rsid w:val="00466A81"/>
    <w:rsid w:val="004672DE"/>
    <w:rsid w:val="00476851"/>
    <w:rsid w:val="00482F02"/>
    <w:rsid w:val="004922F2"/>
    <w:rsid w:val="004977B2"/>
    <w:rsid w:val="004B07F0"/>
    <w:rsid w:val="004B78EB"/>
    <w:rsid w:val="004C46ED"/>
    <w:rsid w:val="004D1EA0"/>
    <w:rsid w:val="004D2436"/>
    <w:rsid w:val="004D5D58"/>
    <w:rsid w:val="004E5030"/>
    <w:rsid w:val="004F4783"/>
    <w:rsid w:val="00504630"/>
    <w:rsid w:val="00506C72"/>
    <w:rsid w:val="00512208"/>
    <w:rsid w:val="005145C1"/>
    <w:rsid w:val="00521AB2"/>
    <w:rsid w:val="005229F2"/>
    <w:rsid w:val="00522A5F"/>
    <w:rsid w:val="00532B0C"/>
    <w:rsid w:val="00543359"/>
    <w:rsid w:val="00544C65"/>
    <w:rsid w:val="005459E9"/>
    <w:rsid w:val="00552E0D"/>
    <w:rsid w:val="00553393"/>
    <w:rsid w:val="005548B6"/>
    <w:rsid w:val="00560C8F"/>
    <w:rsid w:val="00567B63"/>
    <w:rsid w:val="005700E5"/>
    <w:rsid w:val="00570686"/>
    <w:rsid w:val="0057795B"/>
    <w:rsid w:val="00590BE9"/>
    <w:rsid w:val="005B39C9"/>
    <w:rsid w:val="005B41A9"/>
    <w:rsid w:val="005B4874"/>
    <w:rsid w:val="005B4B9E"/>
    <w:rsid w:val="005B72F9"/>
    <w:rsid w:val="005B751C"/>
    <w:rsid w:val="005B7F99"/>
    <w:rsid w:val="005C2172"/>
    <w:rsid w:val="005C50D8"/>
    <w:rsid w:val="005D478B"/>
    <w:rsid w:val="005D76F8"/>
    <w:rsid w:val="005D7C0D"/>
    <w:rsid w:val="005E622C"/>
    <w:rsid w:val="005F068A"/>
    <w:rsid w:val="005F507A"/>
    <w:rsid w:val="005F559E"/>
    <w:rsid w:val="006071B7"/>
    <w:rsid w:val="00607516"/>
    <w:rsid w:val="006116E2"/>
    <w:rsid w:val="00614391"/>
    <w:rsid w:val="0062419B"/>
    <w:rsid w:val="00631436"/>
    <w:rsid w:val="00633BAE"/>
    <w:rsid w:val="0064112F"/>
    <w:rsid w:val="0064517B"/>
    <w:rsid w:val="00656079"/>
    <w:rsid w:val="006576F9"/>
    <w:rsid w:val="00663124"/>
    <w:rsid w:val="00692288"/>
    <w:rsid w:val="006A1BB5"/>
    <w:rsid w:val="006A3BAE"/>
    <w:rsid w:val="006A5076"/>
    <w:rsid w:val="006B196A"/>
    <w:rsid w:val="006B5320"/>
    <w:rsid w:val="006B7F46"/>
    <w:rsid w:val="006C2CD6"/>
    <w:rsid w:val="006C4ABB"/>
    <w:rsid w:val="006C65C8"/>
    <w:rsid w:val="006C6EC4"/>
    <w:rsid w:val="006D2765"/>
    <w:rsid w:val="006D3775"/>
    <w:rsid w:val="006D49BA"/>
    <w:rsid w:val="006D637F"/>
    <w:rsid w:val="006E3B59"/>
    <w:rsid w:val="006E433A"/>
    <w:rsid w:val="006E5F8F"/>
    <w:rsid w:val="006E6C7B"/>
    <w:rsid w:val="006F02DE"/>
    <w:rsid w:val="006F6E1C"/>
    <w:rsid w:val="006F71C3"/>
    <w:rsid w:val="00707600"/>
    <w:rsid w:val="00707AB6"/>
    <w:rsid w:val="0071249E"/>
    <w:rsid w:val="007369A7"/>
    <w:rsid w:val="00747413"/>
    <w:rsid w:val="00751898"/>
    <w:rsid w:val="007566AE"/>
    <w:rsid w:val="00762AD2"/>
    <w:rsid w:val="00780ADB"/>
    <w:rsid w:val="0078206A"/>
    <w:rsid w:val="007935E4"/>
    <w:rsid w:val="007964B3"/>
    <w:rsid w:val="007C580E"/>
    <w:rsid w:val="007C6121"/>
    <w:rsid w:val="007D5DFB"/>
    <w:rsid w:val="007D7BBD"/>
    <w:rsid w:val="007E32ED"/>
    <w:rsid w:val="007E63C2"/>
    <w:rsid w:val="007F3932"/>
    <w:rsid w:val="007F4C2B"/>
    <w:rsid w:val="00800B04"/>
    <w:rsid w:val="00802255"/>
    <w:rsid w:val="00802C65"/>
    <w:rsid w:val="00816FE5"/>
    <w:rsid w:val="0083196A"/>
    <w:rsid w:val="00831BB8"/>
    <w:rsid w:val="00835D13"/>
    <w:rsid w:val="00843CCB"/>
    <w:rsid w:val="008467B9"/>
    <w:rsid w:val="00851FE8"/>
    <w:rsid w:val="008660B0"/>
    <w:rsid w:val="0087487F"/>
    <w:rsid w:val="00875B01"/>
    <w:rsid w:val="008763F9"/>
    <w:rsid w:val="00882F92"/>
    <w:rsid w:val="00894576"/>
    <w:rsid w:val="00896B88"/>
    <w:rsid w:val="008B077D"/>
    <w:rsid w:val="008C0D6A"/>
    <w:rsid w:val="008C624E"/>
    <w:rsid w:val="008C7EA0"/>
    <w:rsid w:val="008E02A0"/>
    <w:rsid w:val="008E1B4E"/>
    <w:rsid w:val="008E25B8"/>
    <w:rsid w:val="008E39F3"/>
    <w:rsid w:val="00903BE3"/>
    <w:rsid w:val="0092408E"/>
    <w:rsid w:val="00940A24"/>
    <w:rsid w:val="0094229D"/>
    <w:rsid w:val="00944133"/>
    <w:rsid w:val="0094604F"/>
    <w:rsid w:val="0094685C"/>
    <w:rsid w:val="00947610"/>
    <w:rsid w:val="00951359"/>
    <w:rsid w:val="009578EF"/>
    <w:rsid w:val="0096217C"/>
    <w:rsid w:val="009728D0"/>
    <w:rsid w:val="00976DC4"/>
    <w:rsid w:val="00980A17"/>
    <w:rsid w:val="009842D3"/>
    <w:rsid w:val="009A6AA2"/>
    <w:rsid w:val="009B194B"/>
    <w:rsid w:val="009D098C"/>
    <w:rsid w:val="009D2121"/>
    <w:rsid w:val="009D21FA"/>
    <w:rsid w:val="009D22C5"/>
    <w:rsid w:val="009E4248"/>
    <w:rsid w:val="009F13D9"/>
    <w:rsid w:val="009F6AC5"/>
    <w:rsid w:val="009F6D32"/>
    <w:rsid w:val="00A02584"/>
    <w:rsid w:val="00A07746"/>
    <w:rsid w:val="00A079A1"/>
    <w:rsid w:val="00A25A61"/>
    <w:rsid w:val="00A270F7"/>
    <w:rsid w:val="00A36A74"/>
    <w:rsid w:val="00A44E55"/>
    <w:rsid w:val="00A457D1"/>
    <w:rsid w:val="00A478C6"/>
    <w:rsid w:val="00A47AF6"/>
    <w:rsid w:val="00A51001"/>
    <w:rsid w:val="00A52AE3"/>
    <w:rsid w:val="00A52CC6"/>
    <w:rsid w:val="00A563AD"/>
    <w:rsid w:val="00A64CC5"/>
    <w:rsid w:val="00A65240"/>
    <w:rsid w:val="00A6591F"/>
    <w:rsid w:val="00A70AF6"/>
    <w:rsid w:val="00A72D88"/>
    <w:rsid w:val="00A74D7D"/>
    <w:rsid w:val="00A9516F"/>
    <w:rsid w:val="00AB6A84"/>
    <w:rsid w:val="00AB6BF5"/>
    <w:rsid w:val="00AC040E"/>
    <w:rsid w:val="00AC1CF2"/>
    <w:rsid w:val="00AC3D1B"/>
    <w:rsid w:val="00AC7C9B"/>
    <w:rsid w:val="00AD1588"/>
    <w:rsid w:val="00AD2A18"/>
    <w:rsid w:val="00AD3535"/>
    <w:rsid w:val="00AD5620"/>
    <w:rsid w:val="00AD7A53"/>
    <w:rsid w:val="00AF0806"/>
    <w:rsid w:val="00AF6DC0"/>
    <w:rsid w:val="00B13C5C"/>
    <w:rsid w:val="00B147CA"/>
    <w:rsid w:val="00B25DA5"/>
    <w:rsid w:val="00B439AC"/>
    <w:rsid w:val="00B452D2"/>
    <w:rsid w:val="00B46A0B"/>
    <w:rsid w:val="00B46B03"/>
    <w:rsid w:val="00B50296"/>
    <w:rsid w:val="00B56A39"/>
    <w:rsid w:val="00B62DB3"/>
    <w:rsid w:val="00B64B24"/>
    <w:rsid w:val="00B7493B"/>
    <w:rsid w:val="00B85639"/>
    <w:rsid w:val="00B85A3D"/>
    <w:rsid w:val="00B9096F"/>
    <w:rsid w:val="00B9378B"/>
    <w:rsid w:val="00B94E1E"/>
    <w:rsid w:val="00B97B06"/>
    <w:rsid w:val="00BC502E"/>
    <w:rsid w:val="00BC6B8C"/>
    <w:rsid w:val="00BD49F7"/>
    <w:rsid w:val="00BE08C9"/>
    <w:rsid w:val="00BE1C68"/>
    <w:rsid w:val="00BE33D2"/>
    <w:rsid w:val="00BE44CC"/>
    <w:rsid w:val="00BE4C8A"/>
    <w:rsid w:val="00BF5201"/>
    <w:rsid w:val="00C030FF"/>
    <w:rsid w:val="00C03405"/>
    <w:rsid w:val="00C06477"/>
    <w:rsid w:val="00C13F98"/>
    <w:rsid w:val="00C22434"/>
    <w:rsid w:val="00C226E1"/>
    <w:rsid w:val="00C23D88"/>
    <w:rsid w:val="00C23E8A"/>
    <w:rsid w:val="00C42060"/>
    <w:rsid w:val="00C44176"/>
    <w:rsid w:val="00C46934"/>
    <w:rsid w:val="00C46E18"/>
    <w:rsid w:val="00C50B97"/>
    <w:rsid w:val="00C61D68"/>
    <w:rsid w:val="00C64F07"/>
    <w:rsid w:val="00C7024B"/>
    <w:rsid w:val="00C8511C"/>
    <w:rsid w:val="00C91344"/>
    <w:rsid w:val="00C959ED"/>
    <w:rsid w:val="00CA31F5"/>
    <w:rsid w:val="00CC7B15"/>
    <w:rsid w:val="00CD3733"/>
    <w:rsid w:val="00CD4D66"/>
    <w:rsid w:val="00CE115D"/>
    <w:rsid w:val="00CE183A"/>
    <w:rsid w:val="00D03B3D"/>
    <w:rsid w:val="00D10792"/>
    <w:rsid w:val="00D13D82"/>
    <w:rsid w:val="00D27D5C"/>
    <w:rsid w:val="00D31679"/>
    <w:rsid w:val="00D322D3"/>
    <w:rsid w:val="00D36631"/>
    <w:rsid w:val="00D42C10"/>
    <w:rsid w:val="00D50752"/>
    <w:rsid w:val="00D56E00"/>
    <w:rsid w:val="00D61F8B"/>
    <w:rsid w:val="00D6739C"/>
    <w:rsid w:val="00D72419"/>
    <w:rsid w:val="00D832ED"/>
    <w:rsid w:val="00D86FD2"/>
    <w:rsid w:val="00D95ED6"/>
    <w:rsid w:val="00D96E1E"/>
    <w:rsid w:val="00DB5333"/>
    <w:rsid w:val="00DB7F09"/>
    <w:rsid w:val="00DC1295"/>
    <w:rsid w:val="00DC2BC4"/>
    <w:rsid w:val="00DC6D31"/>
    <w:rsid w:val="00DD0EC3"/>
    <w:rsid w:val="00DE1082"/>
    <w:rsid w:val="00DE1D83"/>
    <w:rsid w:val="00E140CA"/>
    <w:rsid w:val="00E1562B"/>
    <w:rsid w:val="00E178D8"/>
    <w:rsid w:val="00E228EC"/>
    <w:rsid w:val="00E31390"/>
    <w:rsid w:val="00E378BC"/>
    <w:rsid w:val="00E435DB"/>
    <w:rsid w:val="00E43D34"/>
    <w:rsid w:val="00E47C38"/>
    <w:rsid w:val="00E53B66"/>
    <w:rsid w:val="00E55806"/>
    <w:rsid w:val="00E6444F"/>
    <w:rsid w:val="00E64DC3"/>
    <w:rsid w:val="00E700DD"/>
    <w:rsid w:val="00E80B1B"/>
    <w:rsid w:val="00E810E0"/>
    <w:rsid w:val="00E8345E"/>
    <w:rsid w:val="00E92585"/>
    <w:rsid w:val="00EA6B95"/>
    <w:rsid w:val="00EB4927"/>
    <w:rsid w:val="00EB4D44"/>
    <w:rsid w:val="00EB5EBC"/>
    <w:rsid w:val="00EC68DB"/>
    <w:rsid w:val="00EC6D60"/>
    <w:rsid w:val="00ED2A1D"/>
    <w:rsid w:val="00ED6C97"/>
    <w:rsid w:val="00F04D2F"/>
    <w:rsid w:val="00F05C88"/>
    <w:rsid w:val="00F17767"/>
    <w:rsid w:val="00F23FCC"/>
    <w:rsid w:val="00F415D1"/>
    <w:rsid w:val="00F42844"/>
    <w:rsid w:val="00F5454E"/>
    <w:rsid w:val="00F70252"/>
    <w:rsid w:val="00F76F95"/>
    <w:rsid w:val="00F80193"/>
    <w:rsid w:val="00F90F1E"/>
    <w:rsid w:val="00F914CB"/>
    <w:rsid w:val="00F975B6"/>
    <w:rsid w:val="00FA6340"/>
    <w:rsid w:val="00FB2640"/>
    <w:rsid w:val="00FB5C3D"/>
    <w:rsid w:val="00FC06CC"/>
    <w:rsid w:val="00FC61F4"/>
    <w:rsid w:val="00FD3777"/>
    <w:rsid w:val="00FD5400"/>
    <w:rsid w:val="00FE5557"/>
    <w:rsid w:val="029346CF"/>
    <w:rsid w:val="058750E1"/>
    <w:rsid w:val="07E01140"/>
    <w:rsid w:val="08BA7587"/>
    <w:rsid w:val="08DC5DC4"/>
    <w:rsid w:val="095D5D87"/>
    <w:rsid w:val="0C757167"/>
    <w:rsid w:val="0C7F3751"/>
    <w:rsid w:val="0CFD3DAC"/>
    <w:rsid w:val="0EB36461"/>
    <w:rsid w:val="11230E48"/>
    <w:rsid w:val="1277592F"/>
    <w:rsid w:val="12D15FC3"/>
    <w:rsid w:val="134358FA"/>
    <w:rsid w:val="13E64607"/>
    <w:rsid w:val="14670764"/>
    <w:rsid w:val="176C2B2A"/>
    <w:rsid w:val="17B06533"/>
    <w:rsid w:val="17D6525C"/>
    <w:rsid w:val="18B45E8C"/>
    <w:rsid w:val="19261639"/>
    <w:rsid w:val="1AA066D9"/>
    <w:rsid w:val="1AB54687"/>
    <w:rsid w:val="1CF91406"/>
    <w:rsid w:val="20A7794A"/>
    <w:rsid w:val="238203F4"/>
    <w:rsid w:val="25127FAD"/>
    <w:rsid w:val="25197CD8"/>
    <w:rsid w:val="256B1D36"/>
    <w:rsid w:val="2834557D"/>
    <w:rsid w:val="284F2671"/>
    <w:rsid w:val="2C181E9E"/>
    <w:rsid w:val="2EED1B44"/>
    <w:rsid w:val="2FC54EE2"/>
    <w:rsid w:val="302B7D15"/>
    <w:rsid w:val="311C67E8"/>
    <w:rsid w:val="32585BBA"/>
    <w:rsid w:val="33BA6795"/>
    <w:rsid w:val="34B07A7A"/>
    <w:rsid w:val="384F4DD7"/>
    <w:rsid w:val="3A32463D"/>
    <w:rsid w:val="3DC066AC"/>
    <w:rsid w:val="413C6BAC"/>
    <w:rsid w:val="43652F1A"/>
    <w:rsid w:val="473615D0"/>
    <w:rsid w:val="47C96421"/>
    <w:rsid w:val="4CAE7A26"/>
    <w:rsid w:val="4D5C2BE2"/>
    <w:rsid w:val="4F9C015B"/>
    <w:rsid w:val="503F7AA1"/>
    <w:rsid w:val="512F4404"/>
    <w:rsid w:val="52A7371F"/>
    <w:rsid w:val="55EF3FE9"/>
    <w:rsid w:val="56F76B92"/>
    <w:rsid w:val="5A05631D"/>
    <w:rsid w:val="5A430F2D"/>
    <w:rsid w:val="5A6F6A1F"/>
    <w:rsid w:val="5E1776AB"/>
    <w:rsid w:val="5F5E4A1F"/>
    <w:rsid w:val="60084F21"/>
    <w:rsid w:val="626003B8"/>
    <w:rsid w:val="62626B0C"/>
    <w:rsid w:val="62662620"/>
    <w:rsid w:val="63190931"/>
    <w:rsid w:val="635619BC"/>
    <w:rsid w:val="64897A88"/>
    <w:rsid w:val="676D68B5"/>
    <w:rsid w:val="69C11D49"/>
    <w:rsid w:val="69C45A47"/>
    <w:rsid w:val="6A124E43"/>
    <w:rsid w:val="6B467FBF"/>
    <w:rsid w:val="6B544DB6"/>
    <w:rsid w:val="6EC954CC"/>
    <w:rsid w:val="6FDA011B"/>
    <w:rsid w:val="6FF8055B"/>
    <w:rsid w:val="7054787E"/>
    <w:rsid w:val="726A1802"/>
    <w:rsid w:val="726A5FC2"/>
    <w:rsid w:val="735C236A"/>
    <w:rsid w:val="73D3045E"/>
    <w:rsid w:val="73DE4D79"/>
    <w:rsid w:val="746F054B"/>
    <w:rsid w:val="750176DA"/>
    <w:rsid w:val="75E62423"/>
    <w:rsid w:val="79EC36DB"/>
    <w:rsid w:val="7A9C0F89"/>
    <w:rsid w:val="7B1F21E5"/>
    <w:rsid w:val="7C093BAE"/>
    <w:rsid w:val="7D5502DC"/>
    <w:rsid w:val="7E351352"/>
    <w:rsid w:val="7F3476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spacing w:line="560" w:lineRule="atLeast"/>
      <w:ind w:firstLine="200" w:firstLineChars="200"/>
      <w:outlineLvl w:val="1"/>
    </w:pPr>
    <w:rPr>
      <w:rFonts w:ascii="Arial" w:hAnsi="Arial" w:eastAsia="黑体"/>
      <w:bCs/>
      <w:sz w:val="32"/>
      <w:szCs w:val="32"/>
    </w:rPr>
  </w:style>
  <w:style w:type="character" w:default="1" w:styleId="15">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4">
    <w:name w:val="Normal Indent"/>
    <w:basedOn w:val="1"/>
    <w:uiPriority w:val="0"/>
    <w:pPr>
      <w:ind w:firstLine="720"/>
    </w:pPr>
    <w:rPr>
      <w:rFonts w:eastAsia="仿宋_GB2312"/>
      <w:sz w:val="32"/>
      <w:szCs w:val="20"/>
    </w:rPr>
  </w:style>
  <w:style w:type="paragraph" w:styleId="5">
    <w:name w:val="Body Text"/>
    <w:basedOn w:val="1"/>
    <w:link w:val="19"/>
    <w:uiPriority w:val="0"/>
    <w:pPr>
      <w:spacing w:after="120"/>
    </w:pPr>
  </w:style>
  <w:style w:type="paragraph" w:styleId="6">
    <w:name w:val="Date"/>
    <w:basedOn w:val="1"/>
    <w:next w:val="1"/>
    <w:uiPriority w:val="0"/>
    <w:pPr>
      <w:ind w:left="100" w:leftChars="2500"/>
    </w:pPr>
  </w:style>
  <w:style w:type="paragraph" w:styleId="7">
    <w:name w:val="Body Text Indent 2"/>
    <w:basedOn w:val="1"/>
    <w:uiPriority w:val="0"/>
    <w:pPr>
      <w:spacing w:line="360" w:lineRule="auto"/>
      <w:ind w:firstLine="630"/>
    </w:pPr>
    <w:rPr>
      <w:rFonts w:eastAsia="仿宋_GB2312"/>
      <w:sz w:val="32"/>
    </w:rPr>
  </w:style>
  <w:style w:type="paragraph" w:styleId="8">
    <w:name w:val="Balloon Text"/>
    <w:basedOn w:val="1"/>
    <w:semiHidden/>
    <w:uiPriority w:val="0"/>
    <w:rPr>
      <w:sz w:val="18"/>
      <w:szCs w:val="18"/>
    </w:rPr>
  </w:style>
  <w:style w:type="paragraph" w:styleId="9">
    <w:name w:val="footer"/>
    <w:basedOn w:val="1"/>
    <w:link w:val="20"/>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0"/>
    <w:pPr>
      <w:widowControl/>
      <w:spacing w:before="100" w:beforeAutospacing="1" w:after="100" w:afterAutospacing="1"/>
      <w:jc w:val="left"/>
    </w:pPr>
    <w:rPr>
      <w:rFonts w:ascii="宋体" w:hAnsi="宋体" w:cs="宋体"/>
      <w:kern w:val="0"/>
      <w:sz w:val="24"/>
    </w:rPr>
  </w:style>
  <w:style w:type="paragraph" w:styleId="12">
    <w:name w:val="Title"/>
    <w:basedOn w:val="1"/>
    <w:next w:val="1"/>
    <w:link w:val="21"/>
    <w:qFormat/>
    <w:uiPriority w:val="0"/>
    <w:pPr>
      <w:spacing w:line="560" w:lineRule="exact"/>
      <w:jc w:val="center"/>
      <w:outlineLvl w:val="0"/>
    </w:pPr>
    <w:rPr>
      <w:rFonts w:ascii="方正小标宋简体" w:hAnsi="Arial" w:eastAsia="方正小标宋简体"/>
      <w:bCs/>
      <w:sz w:val="44"/>
      <w:szCs w:val="32"/>
    </w:rPr>
  </w:style>
  <w:style w:type="table" w:styleId="14">
    <w:name w:val="Table Grid"/>
    <w:basedOn w:val="13"/>
    <w:uiPriority w:val="0"/>
    <w:pPr>
      <w:widowControl w:val="0"/>
      <w:jc w:val="both"/>
    </w:pPr>
    <w:tblPr>
      <w:tblStyle w:val="1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uiPriority w:val="0"/>
  </w:style>
  <w:style w:type="character" w:customStyle="1" w:styleId="18">
    <w:name w:val="标题 2 Char"/>
    <w:link w:val="3"/>
    <w:locked/>
    <w:uiPriority w:val="0"/>
    <w:rPr>
      <w:rFonts w:ascii="Arial" w:hAnsi="Arial" w:eastAsia="黑体"/>
      <w:bCs/>
      <w:kern w:val="2"/>
      <w:sz w:val="32"/>
      <w:szCs w:val="32"/>
      <w:lang w:val="en-US" w:eastAsia="zh-CN" w:bidi="ar-SA"/>
    </w:rPr>
  </w:style>
  <w:style w:type="character" w:customStyle="1" w:styleId="19">
    <w:name w:val="正文文本 Char"/>
    <w:basedOn w:val="15"/>
    <w:link w:val="5"/>
    <w:uiPriority w:val="0"/>
    <w:rPr>
      <w:rFonts w:eastAsia="宋体"/>
      <w:kern w:val="2"/>
      <w:sz w:val="21"/>
      <w:szCs w:val="24"/>
      <w:lang w:val="en-US" w:eastAsia="zh-CN" w:bidi="ar-SA"/>
    </w:rPr>
  </w:style>
  <w:style w:type="character" w:customStyle="1" w:styleId="20">
    <w:name w:val="页脚 Char"/>
    <w:link w:val="9"/>
    <w:uiPriority w:val="0"/>
    <w:rPr>
      <w:kern w:val="2"/>
      <w:sz w:val="18"/>
      <w:szCs w:val="18"/>
    </w:rPr>
  </w:style>
  <w:style w:type="character" w:customStyle="1" w:styleId="21">
    <w:name w:val="标题 Char"/>
    <w:link w:val="12"/>
    <w:locked/>
    <w:uiPriority w:val="0"/>
    <w:rPr>
      <w:rFonts w:ascii="方正小标宋简体" w:hAnsi="Arial" w:eastAsia="方正小标宋简体"/>
      <w:bCs/>
      <w:kern w:val="2"/>
      <w:sz w:val="44"/>
      <w:szCs w:val="32"/>
      <w:lang w:bidi="ar-SA"/>
    </w:rPr>
  </w:style>
  <w:style w:type="character" w:customStyle="1" w:styleId="22">
    <w:name w:val=" Char Char"/>
    <w:uiPriority w:val="0"/>
    <w:rPr>
      <w:rFonts w:eastAsia="宋体"/>
      <w:kern w:val="2"/>
      <w:sz w:val="21"/>
      <w:szCs w:val="24"/>
      <w:lang w:val="en-US" w:eastAsia="zh-CN" w:bidi="ar-SA"/>
    </w:rPr>
  </w:style>
  <w:style w:type="character" w:customStyle="1" w:styleId="23">
    <w:name w:val="正文文本 + 8.5 pt"/>
    <w:aliases w:val="间距 0 pt8"/>
    <w:basedOn w:val="19"/>
    <w:uiPriority w:val="0"/>
    <w:rPr>
      <w:rFonts w:hint="eastAsia"/>
      <w:spacing w:val="-10"/>
      <w:sz w:val="17"/>
      <w:lang w:eastAsia="en-US"/>
    </w:rPr>
  </w:style>
  <w:style w:type="character" w:customStyle="1" w:styleId="24">
    <w:name w:val="正文文本 + 9 pt"/>
    <w:aliases w:val="间距 0 pt9"/>
    <w:basedOn w:val="19"/>
    <w:uiPriority w:val="0"/>
    <w:rPr>
      <w:rFonts w:hint="eastAsia"/>
      <w:spacing w:val="-10"/>
      <w:sz w:val="18"/>
    </w:rPr>
  </w:style>
  <w:style w:type="character" w:customStyle="1" w:styleId="25">
    <w:name w:val="font61"/>
    <w:basedOn w:val="15"/>
    <w:uiPriority w:val="0"/>
    <w:rPr>
      <w:rFonts w:hint="eastAsia" w:ascii="宋体" w:hAnsi="宋体" w:eastAsia="宋体"/>
      <w:color w:val="000000"/>
      <w:sz w:val="18"/>
      <w:szCs w:val="18"/>
      <w:u w:val="none"/>
    </w:rPr>
  </w:style>
  <w:style w:type="character" w:customStyle="1" w:styleId="26">
    <w:name w:val="font51"/>
    <w:basedOn w:val="15"/>
    <w:uiPriority w:val="0"/>
    <w:rPr>
      <w:rFonts w:hint="eastAsia" w:ascii="宋体" w:hAnsi="宋体" w:eastAsia="宋体"/>
      <w:color w:val="000000"/>
      <w:sz w:val="20"/>
      <w:szCs w:val="20"/>
      <w:u w:val="none"/>
    </w:rPr>
  </w:style>
  <w:style w:type="character" w:customStyle="1" w:styleId="27">
    <w:name w:val="标题 #5_"/>
    <w:basedOn w:val="15"/>
    <w:link w:val="28"/>
    <w:uiPriority w:val="0"/>
    <w:rPr>
      <w:rFonts w:ascii="FZFangSong-Z02S" w:eastAsia="FZFangSong-Z02S"/>
      <w:spacing w:val="-50"/>
      <w:sz w:val="40"/>
      <w:lang w:bidi="ar-SA"/>
    </w:rPr>
  </w:style>
  <w:style w:type="paragraph" w:customStyle="1" w:styleId="28">
    <w:name w:val="标题 #5"/>
    <w:basedOn w:val="1"/>
    <w:link w:val="27"/>
    <w:uiPriority w:val="0"/>
    <w:pPr>
      <w:shd w:val="clear" w:color="auto" w:fill="FFFFFF"/>
      <w:spacing w:line="240" w:lineRule="atLeast"/>
      <w:jc w:val="center"/>
      <w:outlineLvl w:val="4"/>
    </w:pPr>
    <w:rPr>
      <w:rFonts w:ascii="FZFangSong-Z02S" w:eastAsia="FZFangSong-Z02S"/>
      <w:spacing w:val="-50"/>
      <w:kern w:val="0"/>
      <w:sz w:val="40"/>
      <w:szCs w:val="20"/>
      <w:lang/>
    </w:rPr>
  </w:style>
  <w:style w:type="character" w:customStyle="1" w:styleId="29">
    <w:name w:val=" Char Char1"/>
    <w:uiPriority w:val="0"/>
    <w:rPr>
      <w:rFonts w:ascii="Arial" w:hAnsi="Arial" w:eastAsia="楷体"/>
      <w:bCs/>
      <w:kern w:val="2"/>
      <w:sz w:val="32"/>
      <w:szCs w:val="32"/>
      <w:lang w:val="en-US" w:eastAsia="zh-CN" w:bidi="ar-SA"/>
    </w:rPr>
  </w:style>
  <w:style w:type="character" w:customStyle="1" w:styleId="30">
    <w:name w:val="15"/>
    <w:basedOn w:val="15"/>
    <w:uiPriority w:val="0"/>
    <w:rPr>
      <w:rFonts w:hint="default" w:ascii="Calibri" w:hAnsi="Calibri"/>
    </w:rPr>
  </w:style>
  <w:style w:type="paragraph" w:customStyle="1" w:styleId="31">
    <w:name w:val="正文缩进 + 首行缩进:  2 字符"/>
    <w:basedOn w:val="1"/>
    <w:uiPriority w:val="0"/>
    <w:pPr>
      <w:spacing w:line="560" w:lineRule="exact"/>
      <w:ind w:firstLine="640"/>
    </w:pPr>
    <w:rPr>
      <w:rFonts w:ascii="仿宋" w:hAnsi="仿宋" w:eastAsia="仿宋" w:cs="宋体"/>
      <w:sz w:val="32"/>
      <w:szCs w:val="20"/>
    </w:rPr>
  </w:style>
  <w:style w:type="paragraph" w:customStyle="1" w:styleId="32">
    <w:name w:val="列出段落"/>
    <w:basedOn w:val="1"/>
    <w:qFormat/>
    <w:uiPriority w:val="0"/>
    <w:pPr>
      <w:ind w:firstLine="420" w:firstLineChars="200"/>
    </w:pPr>
    <w:rPr>
      <w:rFonts w:ascii="Calibri" w:hAnsi="Calibri"/>
      <w:szCs w:val="22"/>
    </w:rPr>
  </w:style>
  <w:style w:type="character" w:customStyle="1" w:styleId="33">
    <w:name w:val="正文文本 + 9 pt"/>
    <w:uiPriority w:val="0"/>
    <w:rPr>
      <w:rFonts w:hint="eastAsia" w:eastAsia="宋体"/>
      <w:spacing w:val="-10"/>
      <w:kern w:val="2"/>
      <w:sz w:val="18"/>
      <w:szCs w:val="24"/>
      <w:lang w:val="en-US" w:eastAsia="zh-CN" w:bidi="ar-SA"/>
    </w:rPr>
  </w:style>
  <w:style w:type="character" w:customStyle="1" w:styleId="34">
    <w:name w:val="正文文本 + 8.5 pt"/>
    <w:uiPriority w:val="0"/>
    <w:rPr>
      <w:rFonts w:hint="eastAsia" w:eastAsia="宋体"/>
      <w:spacing w:val="-10"/>
      <w:kern w:val="2"/>
      <w:sz w:val="17"/>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WWW.YlmF.CoM</Company>
  <Pages>6</Pages>
  <Words>4827</Words>
  <Characters>5105</Characters>
  <Lines>41</Lines>
  <Paragraphs>11</Paragraphs>
  <TotalTime>2</TotalTime>
  <ScaleCrop>false</ScaleCrop>
  <LinksUpToDate>false</LinksUpToDate>
  <CharactersWithSpaces>5550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2022-05-26T03:42:00Z</dcterms:created>
  <dc:creator>雨林木风</dc:creator>
  <cp:lastModifiedBy>qzuser</cp:lastModifiedBy>
  <cp:lastPrinted>2022-04-20T01:55:00Z</cp:lastPrinted>
  <dcterms:modified xsi:type="dcterms:W3CDTF">2023-09-27T15:21:35Z</dcterms:modified>
  <dc:title>广财发[2009]20号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C1D73C6FD0134F699E42DD64576EA72B_13</vt:lpwstr>
  </property>
  <property fmtid="{D5CDD505-2E9C-101B-9397-08002B2CF9AE}" pid="4" name="commondata">
    <vt:lpwstr>eyJoZGlkIjoiNjgwMDRiN2YwMjZiNDJjNzRiMjBlZmIwYmIzMWZiZDQifQ==</vt:lpwstr>
  </property>
</Properties>
</file>