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086" w:rsidRPr="00BC5086" w:rsidRDefault="00BC5086" w:rsidP="00BC5086">
      <w:pPr>
        <w:shd w:val="clear" w:color="auto" w:fill="FFFFFF"/>
        <w:adjustRightInd/>
        <w:snapToGrid/>
        <w:spacing w:after="0" w:line="555" w:lineRule="atLeast"/>
        <w:jc w:val="center"/>
        <w:rPr>
          <w:rFonts w:ascii="微软雅黑" w:hAnsi="微软雅黑" w:cs="宋体"/>
          <w:color w:val="212529"/>
          <w:sz w:val="24"/>
          <w:szCs w:val="24"/>
        </w:rPr>
      </w:pPr>
      <w:r>
        <w:rPr>
          <w:rFonts w:ascii="方正小标宋_GBK" w:eastAsia="方正小标宋_GBK" w:hAnsi="微软雅黑" w:cs="宋体" w:hint="eastAsia"/>
          <w:color w:val="212529"/>
          <w:sz w:val="44"/>
          <w:szCs w:val="44"/>
        </w:rPr>
        <w:t>广水市</w:t>
      </w:r>
      <w:r w:rsidRPr="00BC5086">
        <w:rPr>
          <w:rFonts w:ascii="方正小标宋_GBK" w:eastAsia="方正小标宋_GBK" w:hAnsi="微软雅黑" w:cs="宋体" w:hint="eastAsia"/>
          <w:color w:val="212529"/>
          <w:sz w:val="44"/>
          <w:szCs w:val="44"/>
        </w:rPr>
        <w:t>文化和旅游局首违免罚事项清单（共13项）</w:t>
      </w:r>
    </w:p>
    <w:tbl>
      <w:tblPr>
        <w:tblW w:w="0" w:type="auto"/>
        <w:jc w:val="center"/>
        <w:tblBorders>
          <w:top w:val="outset" w:sz="6" w:space="0" w:color="333333"/>
          <w:left w:val="outset" w:sz="6" w:space="0" w:color="333333"/>
          <w:bottom w:val="outset" w:sz="6" w:space="0" w:color="333333"/>
          <w:right w:val="outset" w:sz="6" w:space="0" w:color="333333"/>
        </w:tblBorders>
        <w:shd w:val="clear" w:color="auto" w:fill="FFFFFF"/>
        <w:tblCellMar>
          <w:left w:w="0" w:type="dxa"/>
          <w:right w:w="0" w:type="dxa"/>
        </w:tblCellMar>
        <w:tblLook w:val="04A0"/>
      </w:tblPr>
      <w:tblGrid>
        <w:gridCol w:w="557"/>
        <w:gridCol w:w="1692"/>
        <w:gridCol w:w="1489"/>
        <w:gridCol w:w="3645"/>
        <w:gridCol w:w="1133"/>
      </w:tblGrid>
      <w:tr w:rsidR="00BC5086" w:rsidRPr="00BC5086" w:rsidTr="00BC5086">
        <w:trPr>
          <w:trHeight w:val="810"/>
          <w:jc w:val="center"/>
        </w:trPr>
        <w:tc>
          <w:tcPr>
            <w:tcW w:w="58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序号</w:t>
            </w:r>
          </w:p>
        </w:tc>
        <w:tc>
          <w:tcPr>
            <w:tcW w:w="264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处罚事项</w:t>
            </w:r>
          </w:p>
        </w:tc>
        <w:tc>
          <w:tcPr>
            <w:tcW w:w="252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首违免罚的情形</w:t>
            </w:r>
          </w:p>
        </w:tc>
        <w:tc>
          <w:tcPr>
            <w:tcW w:w="669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首违免罚的依据</w:t>
            </w:r>
          </w:p>
        </w:tc>
        <w:tc>
          <w:tcPr>
            <w:tcW w:w="169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配套监管措施</w:t>
            </w:r>
          </w:p>
        </w:tc>
      </w:tr>
      <w:tr w:rsidR="00BC5086" w:rsidRPr="00BC5086" w:rsidTr="00BC5086">
        <w:trPr>
          <w:trHeight w:val="810"/>
          <w:jc w:val="center"/>
        </w:trPr>
        <w:tc>
          <w:tcPr>
            <w:tcW w:w="58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1</w:t>
            </w:r>
          </w:p>
        </w:tc>
        <w:tc>
          <w:tcPr>
            <w:tcW w:w="26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互联网上网服务营业场所经营单位擅自停止实施经营管理技术措施的</w:t>
            </w:r>
          </w:p>
        </w:tc>
        <w:tc>
          <w:tcPr>
            <w:tcW w:w="25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初次违法且危害后果轻微,并及时改正的</w:t>
            </w:r>
          </w:p>
        </w:tc>
        <w:tc>
          <w:tcPr>
            <w:tcW w:w="6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互联网上网服务营业场所管理条例》第三十一条：互联网上网服务营业场所经营单位违反本条例的规定，有下列行为之一的，由文化行政部门给予警告，可以并处15000元以下的罚款；情节严重的，责令停业整顿，直至吊销《网络文化经营许可证》：（四）擅自停止实施经营管理技术措施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首违免罚依据：《中华人民共和国行政处罚法》第三十三条　违法行为轻微并及时改正，没有造成危害后果的，不予行政处罚。初次违法且危害后果轻微并及时改正的，可以不予行政处罚。</w:t>
            </w:r>
          </w:p>
        </w:tc>
        <w:tc>
          <w:tcPr>
            <w:tcW w:w="16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w:t>
            </w:r>
          </w:p>
        </w:tc>
      </w:tr>
      <w:tr w:rsidR="00BC5086" w:rsidRPr="00BC5086" w:rsidTr="00BC5086">
        <w:trPr>
          <w:trHeight w:val="810"/>
          <w:jc w:val="center"/>
        </w:trPr>
        <w:tc>
          <w:tcPr>
            <w:tcW w:w="58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2</w:t>
            </w:r>
          </w:p>
        </w:tc>
        <w:tc>
          <w:tcPr>
            <w:tcW w:w="26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互联网上网服务营业场所经营单位未悬挂《网络文化经营许可证》</w:t>
            </w:r>
          </w:p>
        </w:tc>
        <w:tc>
          <w:tcPr>
            <w:tcW w:w="25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初次违法且危害后果轻微,并及时改正的</w:t>
            </w:r>
          </w:p>
        </w:tc>
        <w:tc>
          <w:tcPr>
            <w:tcW w:w="6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互联网上网服务营业场所管理条例》第三十一条：互联网上网服务营业场所经营单位违反本条例的规定，有下列行为之一的，由文化行政部门给予警告，可以并处15000元以下的罚款；情节严重的，责令停业整顿，直至吊销《网络文化经营许可证》：（五）未悬挂《网络文化经营许可证》或者未成年人禁入标志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首违免罚依据：《中华人民共和国行政处罚法》第三十三条　违法行为轻微并及时改正，没有造成危害后果的，不予行政处罚。初次违法且危害后果轻微并及时改正的，可以不予行政处罚。</w:t>
            </w:r>
          </w:p>
        </w:tc>
        <w:tc>
          <w:tcPr>
            <w:tcW w:w="16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w:t>
            </w:r>
          </w:p>
        </w:tc>
      </w:tr>
      <w:tr w:rsidR="00BC5086" w:rsidRPr="00BC5086" w:rsidTr="00BC5086">
        <w:trPr>
          <w:trHeight w:val="810"/>
          <w:jc w:val="center"/>
        </w:trPr>
        <w:tc>
          <w:tcPr>
            <w:tcW w:w="58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3</w:t>
            </w:r>
          </w:p>
        </w:tc>
        <w:tc>
          <w:tcPr>
            <w:tcW w:w="26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互联网上网服务营业场所经营单位变更名称、住所、法定代表人或者主要负责人、注册资本、网络地址或者终止经营活动，未向文化行政部门、公安机关办理有关手续或者备案的</w:t>
            </w:r>
          </w:p>
        </w:tc>
        <w:tc>
          <w:tcPr>
            <w:tcW w:w="25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初次违法且危害后果轻微,并及时改正的</w:t>
            </w:r>
          </w:p>
        </w:tc>
        <w:tc>
          <w:tcPr>
            <w:tcW w:w="6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处罚依据：《互联网上网服务营业场所管理条例》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三十二条：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五）变更名称、住所、法定代表人或者主要负责人、注册资本、网络地址或者终止经营活动，未向文化行政部门、公安机关办理有关手续或者备案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首违免罚依据：《中华人民共和国行政处罚法》第三十三条　违法行为轻微并及时改正，没有造成危害后果的，不予行政处罚。初次违法且危害后果轻微并及时改正的，可以不予行政处罚。</w:t>
            </w:r>
          </w:p>
        </w:tc>
        <w:tc>
          <w:tcPr>
            <w:tcW w:w="16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w:t>
            </w:r>
          </w:p>
        </w:tc>
      </w:tr>
      <w:tr w:rsidR="00BC5086" w:rsidRPr="00BC5086" w:rsidTr="00BC5086">
        <w:trPr>
          <w:trHeight w:val="810"/>
          <w:jc w:val="center"/>
        </w:trPr>
        <w:tc>
          <w:tcPr>
            <w:tcW w:w="58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4</w:t>
            </w:r>
          </w:p>
        </w:tc>
        <w:tc>
          <w:tcPr>
            <w:tcW w:w="26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娱乐场所变更有关事项，未按照本条例规定申请重新核发娱乐经营许可证的</w:t>
            </w:r>
          </w:p>
        </w:tc>
        <w:tc>
          <w:tcPr>
            <w:tcW w:w="25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初次违法且危害后果轻微,并及时改正的</w:t>
            </w:r>
          </w:p>
        </w:tc>
        <w:tc>
          <w:tcPr>
            <w:tcW w:w="6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处罚依据：《娱乐场所管理条例》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四十九条：娱乐场所违反本条例规定，有下列情形之一的，由县级人民政府文化主管部门责令改正，给予警告；情节严重的，责令停业整顿1个月至3个月：（一）变更有关事项，未按照本条例规定申请重新核发娱乐经营许可证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首违免罚依据：《中华人民共和国行政处罚法》第三十三条　违法行为轻微并及时改正，没有造成危害后果的，不予行政处罚。初次违法且危害后果轻微并及时改正的，可以不予行政处罚。</w:t>
            </w:r>
          </w:p>
        </w:tc>
        <w:tc>
          <w:tcPr>
            <w:tcW w:w="16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w:t>
            </w:r>
          </w:p>
        </w:tc>
      </w:tr>
      <w:tr w:rsidR="00BC5086" w:rsidRPr="00BC5086" w:rsidTr="00BC5086">
        <w:trPr>
          <w:trHeight w:val="810"/>
          <w:jc w:val="center"/>
        </w:trPr>
        <w:tc>
          <w:tcPr>
            <w:tcW w:w="58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5</w:t>
            </w:r>
          </w:p>
        </w:tc>
        <w:tc>
          <w:tcPr>
            <w:tcW w:w="26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娱乐场所在《娱乐场所管理条例》规定的禁止营业时间内营业的</w:t>
            </w:r>
          </w:p>
        </w:tc>
        <w:tc>
          <w:tcPr>
            <w:tcW w:w="25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初次违法且危害后果轻微,并及时改正的</w:t>
            </w:r>
          </w:p>
        </w:tc>
        <w:tc>
          <w:tcPr>
            <w:tcW w:w="6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处罚依据：《娱乐场所管理条例》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第四十九条：娱乐场所违反本条例规定，有下列情形之一的，由县级人民政府文化主管部门责令改正，给予警告；情节严重的，责令停业整顿1个月至3个月：（二）在本条例规定的禁止营业时间内营业的。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首违免罚依据：《中华人民共和国行政处罚法》第三十三条　违法行为轻微并及时改正，没有造成危害后果的，不予行政处罚。初次违法且危害后果轻微并及时改正的，可以不予行政处罚。</w:t>
            </w:r>
          </w:p>
        </w:tc>
        <w:tc>
          <w:tcPr>
            <w:tcW w:w="16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w:t>
            </w:r>
          </w:p>
        </w:tc>
      </w:tr>
      <w:tr w:rsidR="00BC5086" w:rsidRPr="00BC5086" w:rsidTr="00BC5086">
        <w:trPr>
          <w:trHeight w:val="810"/>
          <w:jc w:val="center"/>
        </w:trPr>
        <w:tc>
          <w:tcPr>
            <w:tcW w:w="58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6</w:t>
            </w:r>
          </w:p>
        </w:tc>
        <w:tc>
          <w:tcPr>
            <w:tcW w:w="26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娱乐场所从业人员在营业期间未统一着装并佩戴工作标志的</w:t>
            </w:r>
          </w:p>
        </w:tc>
        <w:tc>
          <w:tcPr>
            <w:tcW w:w="25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初次违法且危害后果轻微,并及时改正的</w:t>
            </w:r>
          </w:p>
        </w:tc>
        <w:tc>
          <w:tcPr>
            <w:tcW w:w="6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处罚依据：《娱乐场所管理条例》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四十九条：娱乐场所违反本条例规定，有下列情形之一的，由县级人民政府文化主管部门责令改正，给予警告；情节严重的，责令停业整顿1个月至3个月：（三）从业人员在营业期间未统一着装并佩戴工作标志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首违免罚依据：《中华人民共和国行政处罚法》第三十三条　违法行为轻微并及时改正，没有造成危害后果的，不予行政处罚。初次违法且危害后果轻微并及时改正的，可以不予行政处罚。</w:t>
            </w:r>
          </w:p>
        </w:tc>
        <w:tc>
          <w:tcPr>
            <w:tcW w:w="16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w:t>
            </w:r>
          </w:p>
        </w:tc>
      </w:tr>
      <w:tr w:rsidR="00BC5086" w:rsidRPr="00BC5086" w:rsidTr="00BC5086">
        <w:trPr>
          <w:trHeight w:val="810"/>
          <w:jc w:val="center"/>
        </w:trPr>
        <w:tc>
          <w:tcPr>
            <w:tcW w:w="58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7</w:t>
            </w:r>
          </w:p>
        </w:tc>
        <w:tc>
          <w:tcPr>
            <w:tcW w:w="26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娱乐场所未按照《娱乐场所管理条例》规定悬挂警示标志</w:t>
            </w:r>
          </w:p>
        </w:tc>
        <w:tc>
          <w:tcPr>
            <w:tcW w:w="25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初次违法且危害后果轻微,并及时改正的</w:t>
            </w:r>
          </w:p>
        </w:tc>
        <w:tc>
          <w:tcPr>
            <w:tcW w:w="6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处罚依据：《娱乐场所管理条例》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第五十一条：娱乐场所未按照本条例规定悬挂警示标志、未成年人禁入或者限入标志的，由县级人民政府文化主管部门、县级公安部门依据法定职权责令改正，给予警告。</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首违免罚依据：《中华人民共和国行政</w:t>
            </w:r>
            <w:r w:rsidRPr="00BC5086">
              <w:rPr>
                <w:rFonts w:ascii="宋体" w:eastAsia="宋体" w:hAnsi="宋体" w:cs="Segoe UI" w:hint="eastAsia"/>
                <w:color w:val="212529"/>
                <w:sz w:val="20"/>
                <w:szCs w:val="20"/>
              </w:rPr>
              <w:lastRenderedPageBreak/>
              <w:t>处罚法》第三十三条　违法行为轻微并及时改正，没有造成危害后果的，不予行政处罚。初次违法且危害后果轻微并及时改正的，可以不予行政处罚。</w:t>
            </w:r>
          </w:p>
        </w:tc>
        <w:tc>
          <w:tcPr>
            <w:tcW w:w="16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w:t>
            </w:r>
          </w:p>
        </w:tc>
      </w:tr>
      <w:tr w:rsidR="00BC5086" w:rsidRPr="00BC5086" w:rsidTr="00BC5086">
        <w:trPr>
          <w:trHeight w:val="810"/>
          <w:jc w:val="center"/>
        </w:trPr>
        <w:tc>
          <w:tcPr>
            <w:tcW w:w="58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8</w:t>
            </w:r>
          </w:p>
        </w:tc>
        <w:tc>
          <w:tcPr>
            <w:tcW w:w="26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旅行社设立分社未在规定期限内向分社所在地旅游行政管理部门备案</w:t>
            </w:r>
          </w:p>
        </w:tc>
        <w:tc>
          <w:tcPr>
            <w:tcW w:w="25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初次违法且危害后果轻微,并及时改正的</w:t>
            </w:r>
          </w:p>
        </w:tc>
        <w:tc>
          <w:tcPr>
            <w:tcW w:w="6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处罚依据：《旅行社条例》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第五十条：违反本条例的规定，旅行社有下列情形之一的，由旅游行政管理部门责令改正；拒不改正的，处1万元以下的罚款：（二）设立分社未在规定期限内向分社所在地旅游行政管理部门备案的。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首违免罚依据：《中华人民共和国行政处罚法》第三十三条　违法行为轻微并及时改正，没有造成危害后果的，不予行政处罚。初次违法且危害后果轻微并及时改正的，可以不予行政处罚。</w:t>
            </w:r>
          </w:p>
        </w:tc>
        <w:tc>
          <w:tcPr>
            <w:tcW w:w="16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w:t>
            </w:r>
          </w:p>
        </w:tc>
      </w:tr>
      <w:tr w:rsidR="00BC5086" w:rsidRPr="00BC5086" w:rsidTr="00BC5086">
        <w:trPr>
          <w:trHeight w:val="810"/>
          <w:jc w:val="center"/>
        </w:trPr>
        <w:tc>
          <w:tcPr>
            <w:tcW w:w="58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9</w:t>
            </w:r>
          </w:p>
        </w:tc>
        <w:tc>
          <w:tcPr>
            <w:tcW w:w="26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旅行社变更名称、经营场所、法定代表人等登记事项或者终止经营，未在规定期限内向原许可的旅游行政管理部门备案，换领或者交回旅行社业务经营许可证</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w:t>
            </w:r>
          </w:p>
        </w:tc>
        <w:tc>
          <w:tcPr>
            <w:tcW w:w="25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初次违法且危害后果轻微,并及时改正的</w:t>
            </w:r>
          </w:p>
        </w:tc>
        <w:tc>
          <w:tcPr>
            <w:tcW w:w="6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处罚依据：《旅行社条例》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五十条：违反本条例的规定，旅行社有下列情形之一的，由旅游行政管理部门责令改正；拒不改正的，处1万元以下的罚款：（一）变更名称、经营场所、法定代表人等登记事项或者终止经营，未在规定期限内向原许可的旅游行政管理部门备案，换领或者交回旅行社业务经营许可证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首违免罚依据：《中华人民共和国行政处罚法》第三十三条　违法行为轻微并及时改正，没有造成危害后果的，不予行政处罚。初次违法且危害后果轻微并及时改正的，可以不予行政处罚。</w:t>
            </w:r>
          </w:p>
        </w:tc>
        <w:tc>
          <w:tcPr>
            <w:tcW w:w="16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w:t>
            </w:r>
          </w:p>
        </w:tc>
      </w:tr>
      <w:tr w:rsidR="00BC5086" w:rsidRPr="00BC5086" w:rsidTr="00BC5086">
        <w:trPr>
          <w:trHeight w:val="810"/>
          <w:jc w:val="center"/>
        </w:trPr>
        <w:tc>
          <w:tcPr>
            <w:tcW w:w="58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10</w:t>
            </w:r>
          </w:p>
        </w:tc>
        <w:tc>
          <w:tcPr>
            <w:tcW w:w="26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旅行社不按照国家有关规定向旅游行政管理部门报送经营和财务信息等统计资料的</w:t>
            </w:r>
          </w:p>
        </w:tc>
        <w:tc>
          <w:tcPr>
            <w:tcW w:w="25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初次违法且危害后果轻微,并及时改正的</w:t>
            </w:r>
          </w:p>
        </w:tc>
        <w:tc>
          <w:tcPr>
            <w:tcW w:w="6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处罚依据：《旅行社条例》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第五十条：违反本条例的规定，旅行社有下列情形之一的，由旅游行政管理部门责令改正；拒不改正的，处1万元以下的罚款：（三）不按照国家有关规定向旅游行政管理部门报送经营和财务信息等统计资料的。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首违免罚依据：《中华人民共和国行政处罚法》第三十三条　违法行为轻微并及时改正，没有造成危害后果的，不予行政处罚。初次违法且危害后果轻微并及时改正的，可以不予行政处罚。</w:t>
            </w:r>
          </w:p>
        </w:tc>
        <w:tc>
          <w:tcPr>
            <w:tcW w:w="16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w:t>
            </w:r>
          </w:p>
        </w:tc>
      </w:tr>
      <w:tr w:rsidR="00BC5086" w:rsidRPr="00BC5086" w:rsidTr="00BC5086">
        <w:trPr>
          <w:trHeight w:val="810"/>
          <w:jc w:val="center"/>
        </w:trPr>
        <w:tc>
          <w:tcPr>
            <w:tcW w:w="58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11</w:t>
            </w:r>
          </w:p>
        </w:tc>
        <w:tc>
          <w:tcPr>
            <w:tcW w:w="26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旅行社及其分社、服务网点未悬挂旅行社业务经营许可证、备案登记证明</w:t>
            </w:r>
          </w:p>
        </w:tc>
        <w:tc>
          <w:tcPr>
            <w:tcW w:w="25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初次违法且危害后果轻微,并及时改正的</w:t>
            </w:r>
          </w:p>
        </w:tc>
        <w:tc>
          <w:tcPr>
            <w:tcW w:w="6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处罚依据：《旅行社条例实施细则》</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五十七条：违反本实施细则第十二条第三款、第二十三条、第二十六条的规定，擅自引进外商投资、设立服务网点未在规定期限内备案，或者旅行社及其分社、服务网点未悬挂旅行社业务经营许可证、备案登记证明的，由县级以上旅游行政管理部门责令改正，可以处1万元以下的罚款。第二十六条：旅行社</w:t>
            </w:r>
            <w:r w:rsidRPr="00BC5086">
              <w:rPr>
                <w:rFonts w:ascii="宋体" w:eastAsia="宋体" w:hAnsi="宋体" w:cs="Segoe UI" w:hint="eastAsia"/>
                <w:color w:val="212529"/>
                <w:sz w:val="20"/>
                <w:szCs w:val="20"/>
              </w:rPr>
              <w:lastRenderedPageBreak/>
              <w:t>及其分社、服务网点，应当将《旅行社业务经营许可证》、《旅行社分社备案登记证明》或者《旅行社服务网点备案登记证明》，与营业执照一起，悬挂在经营场所的显要位置。</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首违免罚依据：《中华人民共和国行政处罚法》第三十三条　违法行为轻微并及时改正，没有造成危害后果的，不予行政处罚。初次违法且危害后果轻微并及时改正的，可以不予行政处罚。</w:t>
            </w:r>
          </w:p>
        </w:tc>
        <w:tc>
          <w:tcPr>
            <w:tcW w:w="16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w:t>
            </w:r>
          </w:p>
        </w:tc>
      </w:tr>
      <w:tr w:rsidR="00BC5086" w:rsidRPr="00BC5086" w:rsidTr="00BC5086">
        <w:trPr>
          <w:trHeight w:val="810"/>
          <w:jc w:val="center"/>
        </w:trPr>
        <w:tc>
          <w:tcPr>
            <w:tcW w:w="58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12</w:t>
            </w:r>
          </w:p>
        </w:tc>
        <w:tc>
          <w:tcPr>
            <w:tcW w:w="26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导游人员进行导游活动时未佩戴导游证的</w:t>
            </w:r>
          </w:p>
        </w:tc>
        <w:tc>
          <w:tcPr>
            <w:tcW w:w="25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初次违法且危害后果轻微,并及时改正的</w:t>
            </w:r>
          </w:p>
        </w:tc>
        <w:tc>
          <w:tcPr>
            <w:tcW w:w="6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处罚依据：《导游人员管理条例》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第二十一条：导游人员进行导游活动时未佩戴导游证的，由旅游行政部门责令改正；拒不改正的，处500元以下的罚款。</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首违免罚依据：《中华人民共和国行政处罚法》第三十三条　违法行为轻微并及时改正，没有造成危害后果的，不予行政处罚。初次违法且危害后果轻微并及时改正的，可以不予行政处罚。</w:t>
            </w:r>
          </w:p>
        </w:tc>
        <w:tc>
          <w:tcPr>
            <w:tcW w:w="16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w:t>
            </w:r>
          </w:p>
        </w:tc>
      </w:tr>
      <w:tr w:rsidR="00BC5086" w:rsidRPr="00BC5086" w:rsidTr="00BC5086">
        <w:trPr>
          <w:trHeight w:val="810"/>
          <w:jc w:val="center"/>
        </w:trPr>
        <w:tc>
          <w:tcPr>
            <w:tcW w:w="58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13</w:t>
            </w:r>
          </w:p>
        </w:tc>
        <w:tc>
          <w:tcPr>
            <w:tcW w:w="26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导游未按期报告信息变更情况、未申请变更导游证信息的、更换导游身份标识的、未按规定参加培训</w:t>
            </w:r>
          </w:p>
        </w:tc>
        <w:tc>
          <w:tcPr>
            <w:tcW w:w="25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初次违法且危害后果轻微,并及时改正的</w:t>
            </w:r>
          </w:p>
        </w:tc>
        <w:tc>
          <w:tcPr>
            <w:tcW w:w="6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处罚依据：《导游管理办法》</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三十三条第一款：违反本办法规定，导游有下列行为的，由县级以上旅游主管部门责令改正，并可以处1000元以下罚款；情节严重的，可以处1000元以上5000元以下罚款：（一）未按期报告信息变更情况的；（二）未申请变更导游证信息的；（三）未更换导游身份标识的；（四）不依照本办法第二十四条规定采取相应措施的；（五）未按规定参加旅游主管部门组织的培训的；（六）向负责监督检查的旅游主管部门隐瞒有关情况、提供虚假材料或者拒绝提供反映其活动情况的真实材料的；（七）在导游服务星级评价中提供虚假材料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首违免罚依据：《中华人民共和国行政处罚法》第三十三条　违法行为轻微并及时改正，没有造成危害后果的，不予行政处罚。初次违法且危害后果轻微并及时改正的，可以不予行政处罚。</w:t>
            </w:r>
          </w:p>
        </w:tc>
        <w:tc>
          <w:tcPr>
            <w:tcW w:w="16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w:t>
            </w:r>
          </w:p>
        </w:tc>
      </w:tr>
    </w:tbl>
    <w:p w:rsidR="00BC5086" w:rsidRPr="00BC5086" w:rsidRDefault="00BC5086" w:rsidP="00BC5086">
      <w:pPr>
        <w:shd w:val="clear" w:color="auto" w:fill="FFFFFF"/>
        <w:adjustRightInd/>
        <w:snapToGrid/>
        <w:spacing w:after="0"/>
        <w:jc w:val="both"/>
        <w:textAlignment w:val="center"/>
        <w:rPr>
          <w:rFonts w:ascii="微软雅黑" w:hAnsi="微软雅黑" w:cs="宋体" w:hint="eastAsia"/>
          <w:color w:val="212529"/>
          <w:sz w:val="24"/>
          <w:szCs w:val="24"/>
        </w:rPr>
      </w:pPr>
      <w:r w:rsidRPr="00BC5086">
        <w:rPr>
          <w:rFonts w:ascii="宋体" w:eastAsia="宋体" w:hAnsi="宋体" w:cs="宋体" w:hint="eastAsia"/>
          <w:color w:val="212529"/>
          <w:sz w:val="20"/>
          <w:szCs w:val="20"/>
        </w:rPr>
        <w:t>说明：配套监管措施主要是包容观察、预警提示、容缺执法、说服教育、劝导示范、行政建议、行政指导、行政约谈、行政告诫、行政回访等方式。</w:t>
      </w:r>
    </w:p>
    <w:p w:rsidR="00BC5086" w:rsidRPr="00BC5086" w:rsidRDefault="00BC5086" w:rsidP="00BC5086">
      <w:pPr>
        <w:shd w:val="clear" w:color="auto" w:fill="FFFFFF"/>
        <w:adjustRightInd/>
        <w:snapToGrid/>
        <w:spacing w:after="0" w:line="480" w:lineRule="atLeast"/>
        <w:jc w:val="both"/>
        <w:rPr>
          <w:rFonts w:ascii="微软雅黑" w:hAnsi="微软雅黑" w:cs="宋体" w:hint="eastAsia"/>
          <w:color w:val="212529"/>
          <w:sz w:val="24"/>
          <w:szCs w:val="24"/>
        </w:rPr>
      </w:pPr>
      <w:r w:rsidRPr="00BC5086">
        <w:rPr>
          <w:rFonts w:ascii="仿宋_GB2312" w:eastAsia="仿宋_GB2312" w:hAnsi="微软雅黑" w:cs="宋体" w:hint="eastAsia"/>
          <w:color w:val="212529"/>
          <w:sz w:val="32"/>
          <w:szCs w:val="32"/>
        </w:rPr>
        <w:t> </w:t>
      </w:r>
    </w:p>
    <w:p w:rsidR="00BC5086" w:rsidRPr="00BC5086" w:rsidRDefault="00BC5086" w:rsidP="00BC5086">
      <w:pPr>
        <w:shd w:val="clear" w:color="auto" w:fill="FFFFFF"/>
        <w:adjustRightInd/>
        <w:snapToGrid/>
        <w:spacing w:after="0" w:line="480" w:lineRule="atLeast"/>
        <w:jc w:val="both"/>
        <w:rPr>
          <w:rFonts w:ascii="微软雅黑" w:hAnsi="微软雅黑" w:cs="宋体" w:hint="eastAsia"/>
          <w:color w:val="212529"/>
          <w:sz w:val="24"/>
          <w:szCs w:val="24"/>
        </w:rPr>
      </w:pPr>
      <w:r w:rsidRPr="00BC5086">
        <w:rPr>
          <w:rFonts w:ascii="仿宋_GB2312" w:eastAsia="仿宋_GB2312" w:hAnsi="微软雅黑" w:cs="宋体" w:hint="eastAsia"/>
          <w:color w:val="212529"/>
          <w:sz w:val="32"/>
          <w:szCs w:val="32"/>
        </w:rPr>
        <w:t> </w:t>
      </w:r>
    </w:p>
    <w:p w:rsidR="00BC5086" w:rsidRPr="00BC5086" w:rsidRDefault="00BC5086" w:rsidP="00BC5086">
      <w:pPr>
        <w:shd w:val="clear" w:color="auto" w:fill="FFFFFF"/>
        <w:adjustRightInd/>
        <w:snapToGrid/>
        <w:spacing w:after="0" w:line="480" w:lineRule="atLeast"/>
        <w:jc w:val="both"/>
        <w:rPr>
          <w:rFonts w:ascii="微软雅黑" w:hAnsi="微软雅黑" w:cs="宋体" w:hint="eastAsia"/>
          <w:color w:val="212529"/>
          <w:sz w:val="24"/>
          <w:szCs w:val="24"/>
        </w:rPr>
      </w:pPr>
      <w:r w:rsidRPr="00BC5086">
        <w:rPr>
          <w:rFonts w:ascii="仿宋_GB2312" w:eastAsia="仿宋_GB2312" w:hAnsi="微软雅黑" w:cs="宋体" w:hint="eastAsia"/>
          <w:color w:val="212529"/>
          <w:sz w:val="32"/>
          <w:szCs w:val="32"/>
        </w:rPr>
        <w:t> </w:t>
      </w:r>
    </w:p>
    <w:p w:rsidR="00BC5086" w:rsidRPr="00BC5086" w:rsidRDefault="00BC5086" w:rsidP="00BC5086">
      <w:pPr>
        <w:shd w:val="clear" w:color="auto" w:fill="FFFFFF"/>
        <w:adjustRightInd/>
        <w:snapToGrid/>
        <w:spacing w:after="0" w:line="480" w:lineRule="atLeast"/>
        <w:jc w:val="center"/>
        <w:rPr>
          <w:rFonts w:ascii="微软雅黑" w:hAnsi="微软雅黑" w:cs="宋体" w:hint="eastAsia"/>
          <w:color w:val="212529"/>
          <w:sz w:val="24"/>
          <w:szCs w:val="24"/>
        </w:rPr>
      </w:pPr>
      <w:r>
        <w:rPr>
          <w:rFonts w:ascii="方正小标宋_GBK" w:eastAsia="方正小标宋_GBK" w:hAnsi="微软雅黑" w:cs="宋体" w:hint="eastAsia"/>
          <w:color w:val="212529"/>
          <w:sz w:val="44"/>
          <w:szCs w:val="44"/>
        </w:rPr>
        <w:lastRenderedPageBreak/>
        <w:t>广水市</w:t>
      </w:r>
      <w:r w:rsidRPr="00BC5086">
        <w:rPr>
          <w:rFonts w:ascii="方正小标宋_GBK" w:eastAsia="方正小标宋_GBK" w:hAnsi="微软雅黑" w:cs="宋体" w:hint="eastAsia"/>
          <w:color w:val="212529"/>
          <w:sz w:val="44"/>
          <w:szCs w:val="44"/>
        </w:rPr>
        <w:t>文化和旅游局不予处罚事项清单（共19项）</w:t>
      </w:r>
    </w:p>
    <w:p w:rsidR="00BC5086" w:rsidRPr="00BC5086" w:rsidRDefault="00BC5086" w:rsidP="00BC5086">
      <w:pPr>
        <w:shd w:val="clear" w:color="auto" w:fill="FFFFFF"/>
        <w:adjustRightInd/>
        <w:snapToGrid/>
        <w:spacing w:after="0" w:line="480" w:lineRule="atLeast"/>
        <w:jc w:val="center"/>
        <w:rPr>
          <w:rFonts w:ascii="微软雅黑" w:hAnsi="微软雅黑" w:cs="宋体" w:hint="eastAsia"/>
          <w:color w:val="212529"/>
          <w:sz w:val="24"/>
          <w:szCs w:val="24"/>
        </w:rPr>
      </w:pPr>
      <w:r w:rsidRPr="00BC5086">
        <w:rPr>
          <w:rFonts w:ascii="方正小标宋_GBK" w:eastAsia="方正小标宋_GBK" w:hAnsi="微软雅黑" w:cs="宋体" w:hint="eastAsia"/>
          <w:color w:val="212529"/>
          <w:sz w:val="44"/>
          <w:szCs w:val="44"/>
        </w:rPr>
        <w:br/>
      </w:r>
    </w:p>
    <w:tbl>
      <w:tblPr>
        <w:tblW w:w="0" w:type="auto"/>
        <w:jc w:val="center"/>
        <w:tblBorders>
          <w:top w:val="outset" w:sz="6" w:space="0" w:color="333333"/>
          <w:left w:val="outset" w:sz="6" w:space="0" w:color="333333"/>
          <w:bottom w:val="outset" w:sz="6" w:space="0" w:color="333333"/>
          <w:right w:val="outset" w:sz="6" w:space="0" w:color="333333"/>
        </w:tblBorders>
        <w:shd w:val="clear" w:color="auto" w:fill="FFFFFF"/>
        <w:tblCellMar>
          <w:left w:w="0" w:type="dxa"/>
          <w:right w:w="0" w:type="dxa"/>
        </w:tblCellMar>
        <w:tblLook w:val="04A0"/>
      </w:tblPr>
      <w:tblGrid>
        <w:gridCol w:w="686"/>
        <w:gridCol w:w="1521"/>
        <w:gridCol w:w="1705"/>
        <w:gridCol w:w="3400"/>
        <w:gridCol w:w="1204"/>
      </w:tblGrid>
      <w:tr w:rsidR="00BC5086" w:rsidRPr="00BC5086" w:rsidTr="00BC5086">
        <w:trPr>
          <w:trHeight w:val="810"/>
          <w:jc w:val="center"/>
        </w:trPr>
        <w:tc>
          <w:tcPr>
            <w:tcW w:w="85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序号</w:t>
            </w:r>
          </w:p>
        </w:tc>
        <w:tc>
          <w:tcPr>
            <w:tcW w:w="250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处罚事项</w:t>
            </w:r>
          </w:p>
        </w:tc>
        <w:tc>
          <w:tcPr>
            <w:tcW w:w="267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不予处罚的情形</w:t>
            </w:r>
          </w:p>
        </w:tc>
        <w:tc>
          <w:tcPr>
            <w:tcW w:w="619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不予处罚的依据</w:t>
            </w:r>
          </w:p>
        </w:tc>
        <w:tc>
          <w:tcPr>
            <w:tcW w:w="184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配套监管措施</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1</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互联网上网服务营业场所经营单位经营非网络游戏</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（一）违法行为轻微并及时改正，没有造成危害后果；（二）当事人有证据足以证明没有主观过错。</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wordWrap w:val="0"/>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处罚依据：《互联网上网服务营业场所管理条例》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三十一条：互联网上网服务营业场所经营单位违反本条例的规定，有下列行为之一的，由文化行政部门给予警告，可以并处15000元以下的罚款；情节严重的，责令停业整顿，直至吊销《网络文化经营许可证》：（三）经营非网络游戏的。</w:t>
            </w:r>
          </w:p>
          <w:p w:rsidR="00BC5086" w:rsidRPr="00BC5086" w:rsidRDefault="00BC5086" w:rsidP="00BC5086">
            <w:pPr>
              <w:wordWrap w:val="0"/>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wordWrap w:val="0"/>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wordWrap w:val="0"/>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2</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互联网上网服务营业场所经营单位向上网消费者提供的计算机未通过局域网的方式接入互联网</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（一）违法行为轻微并及时改正，没有造成危害后果；（二）当事人有证据足以证明没有主观过错。</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处罚依据：《互联网上网服务营业场所管理条例》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三十二条：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一）向上网消费者提供的计算机未通过局域网的方式接入互联网</w:t>
            </w:r>
            <w:r w:rsidRPr="00BC5086">
              <w:rPr>
                <w:rFonts w:ascii="宋体" w:eastAsia="宋体" w:hAnsi="宋体" w:cs="Segoe UI" w:hint="eastAsia"/>
                <w:color w:val="212529"/>
                <w:sz w:val="20"/>
                <w:szCs w:val="20"/>
              </w:rPr>
              <w:lastRenderedPageBreak/>
              <w:t>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3</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互联网上网服务营业场所经营单位未建立场内巡查制度</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（一）违法行为轻微并及时改正，没有造成危害后果；（二）当事人有证据足以证明没有主观过错。</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处罚依据：《互联网上网服务营业场所管理条例》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三十二条：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二）未建立场内巡查制度，或者发现上网消费者的违法行为未予制止并向文化行政部门、公安机关举报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w:t>
            </w:r>
            <w:r w:rsidRPr="00BC5086">
              <w:rPr>
                <w:rFonts w:ascii="宋体" w:eastAsia="宋体" w:hAnsi="宋体" w:cs="Segoe UI" w:hint="eastAsia"/>
                <w:color w:val="212529"/>
                <w:sz w:val="20"/>
                <w:szCs w:val="20"/>
              </w:rPr>
              <w:lastRenderedPageBreak/>
              <w:t>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4</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娱乐场所容纳的消费者超过核定人数</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（一）违法行为轻微并及时改正，没有造成危害后果；（二）当事人有证据足以证明没有主观过错。</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（三）当事人没有违法所得或非法财物。</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处罚依据：《娱乐场所管理条例》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四十八条：违反本条例规定，有下列情形之一的，由县级人民政府文化主管部门没收违法所得和非法财物，并处违法所得1倍以上3倍以下的罚款；没有违法所得或者违法所得不足1万元的，并处1万元以上3万元以下的罚款；情节严重的，责令停业整顿1个月至6个月：（五）娱乐场所容纳的消费者超过核定人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r w:rsidR="00BC5086" w:rsidRPr="00BC5086" w:rsidTr="00BC5086">
        <w:trPr>
          <w:trHeight w:val="705"/>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5</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娱乐场所未按照《娱乐场所管理条例》规定建立从业人员名簿、营业日志</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（一）违法行为轻微并及时改正，没有造成危害后果；（二）当事人有证据足以证明没有主观过错。</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处罚依据：《娱乐场所管理条例》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五十条：娱乐场所未按照本条例规定建立从业人员名簿、营业日志，或者发现违法犯罪行为未按照本条例规定报告的，由县级人民政府文化主管部门、县级公安部门依据法定职权责令改正，给予警告；情节严重的，责令停业整顿1个月至3个月。</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6</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违反《营业性演出管理条例》第七条第二款、第八条第二款、第九条第二款规定，未办理备案手续</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（一）违法行为轻微并及时改正，没有造成危害后果；（二）当事人有证据足以证明没有主观过错。</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处罚依据：《营业性演出管理条例》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第五十条第二款：违反本条例第七条第二款、第八条第二款、第九条第二款规定，未办理备案手续的，由县级人民政府文化主管部门责令改正，给予警告，并处5000元以上1万元以下的罚款。 第七条第二款：演出场所经营单位应当自领取营业执照之日起20日内向所在地县级人民政府文化主管部门备案。 第八条第二款：演出场所经营单位变更名称、住所、法定代表人或者主要负责人，应当依法到工商行政管理部门办理变更登记，并向原备案机关重新备案。 第九条第二款：个体演员、个体演出经纪人应当自领取营业执照之日起20日内向所在地县级人民政府文化主管部门备案。</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7</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互联网文化单位未在其网站主页的显著位置标明文化行</w:t>
            </w:r>
            <w:r w:rsidRPr="00BC5086">
              <w:rPr>
                <w:rFonts w:ascii="宋体" w:eastAsia="宋体" w:hAnsi="宋体" w:cs="Segoe UI" w:hint="eastAsia"/>
                <w:color w:val="212529"/>
                <w:sz w:val="20"/>
                <w:szCs w:val="20"/>
              </w:rPr>
              <w:lastRenderedPageBreak/>
              <w:t>政部门颁发的《网络文化经营许可证》编号或者备案编号</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（一）违法行为轻微并及时改正，没有造成危害后果；（二）</w:t>
            </w:r>
            <w:r w:rsidRPr="00BC5086">
              <w:rPr>
                <w:rFonts w:ascii="宋体" w:eastAsia="宋体" w:hAnsi="宋体" w:cs="Segoe UI" w:hint="eastAsia"/>
                <w:color w:val="212529"/>
                <w:sz w:val="20"/>
                <w:szCs w:val="20"/>
              </w:rPr>
              <w:lastRenderedPageBreak/>
              <w:t>当事人有证据足以证明没有主观过错。</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处罚依据：《互联网文化管理暂行规定》</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第二十三条：经营性互联网文化单位违反本规定第十二条的，由县级以上人民政府文化行政</w:t>
            </w:r>
            <w:r w:rsidRPr="00BC5086">
              <w:rPr>
                <w:rFonts w:ascii="宋体" w:eastAsia="宋体" w:hAnsi="宋体" w:cs="Segoe UI" w:hint="eastAsia"/>
                <w:color w:val="212529"/>
                <w:sz w:val="20"/>
                <w:szCs w:val="20"/>
              </w:rPr>
              <w:lastRenderedPageBreak/>
              <w:t>部门或者文化市场综合执法机构责令限期改正，并可根据情节轻重处10000元以下罚款。非经营性互联网文化单位违反本规定第十二条的，由县级以上人民政府文化行政部门或者文化市场综合执法机构责令限期改正；拒不改正的，责令停止互联网文化活动，并处500元以下罚款。第十二条：互联网文化单位应当在其网站主页的显著位置标明文化行政部门颁发的《网络文化经营许可证》编号或者备案编号，标明国务院信息产业主管部门或者省、自治区、直辖市电信管理机构颁发的经营许可证编号或者备案编号。</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8</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经营性互联网文化单位违反《互联网文化管理暂行规定》第十五条，经营进口互联网文化产品未在其显著位置标明文化和旅游部批准文号、经营国产互联网文化产品未在其显著位置标明文化和旅游部备案编号</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（一）违法行为轻微并及时改正，没有造成危害后果；（二）当事人有证据足以证明没有主观过错。</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处罚依据：《互联网文化管理暂行规定》</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五条：经营性互联网文化单位违反本规定第十五条，经营进口互联网文化产品未在其显著位置标明文化和旅游部批准文号、经营国产互联网文化产品未在其显著位置标明文旅部备案编号的，由县级以上人民政府文化行政部门或者文化市场综合执法机构责令改正，并可根据情节轻重处10000元以下罚款。 第十五条：经营进口互联网文化产品的活动应当由取得文化行政部门核发的《网络文化经营许可证》的经营性互联网文化单位实施，进口互联网文化产品应当报文化部门进行内容审查。</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文旅部应当自受理内容审查申请之日起20日内（不包括专家评审所需时</w:t>
            </w:r>
            <w:r w:rsidRPr="00BC5086">
              <w:rPr>
                <w:rFonts w:ascii="宋体" w:eastAsia="宋体" w:hAnsi="宋体" w:cs="Segoe UI" w:hint="eastAsia"/>
                <w:color w:val="212529"/>
                <w:sz w:val="20"/>
                <w:szCs w:val="20"/>
              </w:rPr>
              <w:lastRenderedPageBreak/>
              <w:t>间）作出批准或者不批准的决定。批准的，发给批准文件；不批准的，应当说明理由。经批准的进口互联网文化产品应当在其显著位置标明文旅部的批准文号，不得擅自变更产品名称或者增删产品内容。自批准之日起一年内未在国内经营的，进口单位应当报文化和旅游部备案并说明原因；决定终止进口的，文旅部撤销其批准文号。经营性互联网文化单位经营的国产互联网文化产品应当自正式经营起30日内报省级以上文化行政部门备案，并在其显著位置标明文旅部备案编号，具体办法另行规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9</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经营性互联网文化单位经营国产互联网文化产品逾期未报文化行政部门备案</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（一）违法行为轻微并及时改正，没有造成危害后果；（二）当事人有证据足以证明没有主观过错。</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处罚依据：《互联网文化管理暂行规定》</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七条：经营性互联网文化单位违反本规定第十五条，经营国产互联网文化产品逾期未报文化行政部门备案的，由县级以上人民政府文化行政部门或者文化市场综合执法机构责令改正，并可根据情节轻重处20000元以下罚款。 第十五条：经营进口互联网文化产品的活动应当由取得文化行政部门核发的《网络文化经营许可证》的经营性互联网文化单位实施，进口互联网文化产品应当报文化部门进行内容审查。</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文化和旅游部应当自受理内容审查申请之日起20日内（不包括专家评审所需时间）作出批准或者不批准的决定。批准的，发给批准文件；不批准的，应当说</w:t>
            </w:r>
            <w:r w:rsidRPr="00BC5086">
              <w:rPr>
                <w:rFonts w:ascii="宋体" w:eastAsia="宋体" w:hAnsi="宋体" w:cs="Segoe UI" w:hint="eastAsia"/>
                <w:color w:val="212529"/>
                <w:sz w:val="20"/>
                <w:szCs w:val="20"/>
              </w:rPr>
              <w:lastRenderedPageBreak/>
              <w:t>明理由。 经批准的进口互联网文化产品应当在其显著位置标明文旅部的批准文号，不得擅自变更产品名称或者增删产品内容。自批准之日起一年内未在国内经营的，进口单位应当报文旅部备案并说明原因；决定终止进口的，文旅部撤销其批准文号。 经营性互联网文化单位经营的国产互联网文化产品应当自正式经营起30日内报省级以上文化行政部门备案，并在其显著位置标明文旅部备案编号，具体办法另行规定。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10</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经营性互联网文化单位未建立自审制度</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（一）违法行为轻微并及时改正，没有造成危害后果；（二）当事人有证据足以证明没有主观过错。</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处罚依据：《互联网文化管理暂行规定》</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第二十九条：经营性互联网文化单位违反本规定第十八条的，由县级以上人民政府文化行政部门或者文化市场综合执法机构责令改正，并可根据情节轻重处20000元以下罚款。 第十八条：互联网文化单位应当建立自审制度，明确专门部门，配备专业人员负责互联网文化产品内容和活动的自查与管理，保障互联网文化产品内容和活动的合法性。</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11</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设立从事艺术品经营活动的经营单位未按规定到住所地县级以上人民政府文化行政部门备案</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（一）违法行为轻微并及时改正，没有造成危害后果；（二）当事人有证据足以证明没有主观过错。</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艺术品经营管理办法》第十九条：违反本办法第五条规定的，由县级以上人民政府文化行政部门或者依法授权的文化市场综合执法机构责令改正，并可根据情节轻重处10000元以下罚款。第五条：设立从事艺术品经营活动的经营单位，应当到其住所地县级以上人民政府工商行政管理部门申领营业执照，并在领取营业执照之日起15日内，到其住所地县级以上人民政府文化行政部门备案。其他经营单位增设艺术品经营业务的，应当按前款办理备案手续。</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12</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所经营的艺术品未标明作者、年代、尺寸、材料、保存状况和销售价格等信息</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（一）违法行为轻微并及时改正，没有造成危害后果；（二）当事人有证据足以证明没有主观过错。</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处罚依据：《艺术品经营管理办法》</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第二十二条：违反本办法第九条、第十一条规定的，由县级以上人民政府文化行政部门或者依法授权的文化市场综合执法机构责令改正，并可根据情节轻重处30000元以下罚款。第九条：艺术品经营</w:t>
            </w:r>
            <w:r w:rsidRPr="00BC5086">
              <w:rPr>
                <w:rFonts w:ascii="宋体" w:eastAsia="宋体" w:hAnsi="宋体" w:cs="Segoe UI" w:hint="eastAsia"/>
                <w:color w:val="212529"/>
                <w:sz w:val="20"/>
                <w:szCs w:val="20"/>
              </w:rPr>
              <w:lastRenderedPageBreak/>
              <w:t>单位应当遵守以下规定：（一）对所经营的艺术品应当标明作者、年代、尺寸、材料、保存状况和销售价格等信息。</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13</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组织艺术考级活动未按规定将承办单位的基本情况和合作协议备案</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（一）违法行为轻微并及时改正，没有造成危害后果；（二）当事人有证据足以证明没有主观过错。</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处罚依据：《社会艺术水平考级管理办法》</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第二十五条：艺术考级机构有下列行为之一的，由县级以上文化行政部门或者文化市场综合执法机构予以警告，责令改正并处10000元以下罚款：（二）未按规定将承办单位的基本情况和合作协议备案的。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14</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旅行社未妥善保存各类旅游合同及相关文件、资料，保存期不够两年的</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（一）违法行为轻微并及时改正，没有造成危害后果；（二）当事人有证据足以证明没有主观过错。</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（三）当事人没有非法所得或非法财物。</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处罚依据：《旅行社条例实施细则》</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六十五条：违反本实施细则第五十条的规定，未妥善保存各类旅游合同及相关文件、资料，保存期不够两年，或者泄露旅游者个人信息的，由县级以上旅游行政管理部门责令改正，没收违法所得，处违法所得3倍以下但最高不超过3万元的罚款；没有违法所得的，处1万元以下的罚款。 第五十条：旅行社应当妥善保存《条例》规定的招徕、组织、接待旅游者的各类合同及相关文件、资料，以备县级以上旅游行政管理部门核查。前款所称的合同及文件、资料的保存期，应当不少于两年。 旅行社不得向其他经营者或者个人，泄露旅游者因签订旅游合同提供的个人信息；超过保存期限的旅游者个人信息资料，应当妥善销毁。</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15</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旅行社或者旅游行业组织未按期报告信息变更情况等行为</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（一）违法行为轻微并及时改正，没有造成危害后果；（二）当事人有证据足以证明没有主观过错。</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处罚依据：《导游管理办法》</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第三十三条第一款：违反本办法规定，导游有下列行为的，由县级以上旅游主管部门责令改正，并可以处1000元以下罚款；情节严重的，可以处1000元以上5000元以下罚款：（一）未按期报告信息变更情况的。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w:t>
            </w:r>
            <w:r w:rsidRPr="00BC5086">
              <w:rPr>
                <w:rFonts w:ascii="宋体" w:eastAsia="宋体" w:hAnsi="宋体" w:cs="Segoe UI" w:hint="eastAsia"/>
                <w:color w:val="212529"/>
                <w:sz w:val="20"/>
                <w:szCs w:val="20"/>
              </w:rPr>
              <w:lastRenderedPageBreak/>
              <w:t>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16</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对旅行社不按要求报备领队信息及变更情况，或者备案的领队不具备领队条件的</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（一）违法行为轻微并及时改正，没有造成危害后果；（二）当事人有证据足以证明没有主观过错。</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处罚依据：《导游管理办法》</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三十六条第一款：违反本办法第二十五条第二款规定，旅行社不按要求报备领队信息及变更情况，或者备案的领队不具备领队条件的，由县级以上旅游主管部门责令改正，并可以删除全国旅游监管服务信息系统中不具备领队条件的领队信息；拒不改正的，可以处5000元以下罚款。 第二十五条第二款：旅行社应当按要求将本单位具备领队条件的领队信息及变更情况，通过全国旅游监管服务信息系统报旅游主管部门备案。</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的目的，不得实施行政强制；违法行为情节轻微或者社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17</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组团社入境旅游业绩下降等行为</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w:t>
            </w:r>
            <w:r w:rsidRPr="00BC5086">
              <w:rPr>
                <w:rFonts w:ascii="宋体" w:eastAsia="宋体" w:hAnsi="宋体" w:cs="Segoe UI" w:hint="eastAsia"/>
                <w:color w:val="212529"/>
                <w:sz w:val="20"/>
                <w:szCs w:val="20"/>
              </w:rPr>
              <w:lastRenderedPageBreak/>
              <w:t>当事人有证据足以证明没有主观过错。</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处罚依据：《中国公民出国旅游管理办法》</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第二十五条：组团社有下列情形之一的，旅游行政部门可以暂停其经营出国旅游业务；情节</w:t>
            </w:r>
            <w:r w:rsidRPr="00BC5086">
              <w:rPr>
                <w:rFonts w:ascii="宋体" w:eastAsia="宋体" w:hAnsi="宋体" w:cs="Segoe UI" w:hint="eastAsia"/>
                <w:color w:val="212529"/>
                <w:sz w:val="20"/>
                <w:szCs w:val="20"/>
              </w:rPr>
              <w:lastRenderedPageBreak/>
              <w:t>严重的，取消其出国旅游业务经营资格：（一）入境旅游业绩下降的。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的目的，不得实施行政强制；违法行为情节轻微或者社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18</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在线旅游经营者未取得质量标准、信用等级标准或使用相关称谓和标识的</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（一）违法行为轻微并及时改正，没有造成危害后果；（二）当事人有证据足以证明没有主观过错。</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在线旅游经营服务管理暂行规定》第三十四条：在线旅游经营者违反本规定第十二条第一款有关规定，未取得质量标准、信用等级使用相关称谓和标识的，由县级以上文化和旅游主管部门责令改正，给予警告，可并处三万元以下罚款。第十二条第一款：在线旅游经营者应当提供真实、准确的旅游服务信息，不得进行虚假宣传；未取得质量标准、信用等级的，不得使用相关称谓和标识。平台经营者应当以显著方式区分标记自营业务和平台内经营者开展的业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行政执法中应当推广运用说服教育、劝导示范、行政指导等非强制性手段，依法慎重实施行政强制。采用非强制性手段能够达到行政管理的目的，不得实施行政强制；违法行为情节轻微或者社</w:t>
            </w:r>
            <w:r w:rsidRPr="00BC5086">
              <w:rPr>
                <w:rFonts w:ascii="宋体" w:eastAsia="宋体" w:hAnsi="宋体" w:cs="Segoe UI" w:hint="eastAsia"/>
                <w:color w:val="212529"/>
                <w:sz w:val="20"/>
                <w:szCs w:val="20"/>
              </w:rPr>
              <w:lastRenderedPageBreak/>
              <w:t>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19</w:t>
            </w:r>
          </w:p>
        </w:tc>
        <w:tc>
          <w:tcPr>
            <w:tcW w:w="250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社会体育指导人员和救助人员未持证上岗，或者未佩戴能标明其身份的醒目标识</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（一）违法行为轻微并及时改正，没有造成危害后果；（二）当事人有证据足以证明没有主观过错。</w:t>
            </w:r>
          </w:p>
        </w:tc>
        <w:tc>
          <w:tcPr>
            <w:tcW w:w="619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处罚依据：《经营高危险性体育项目许可管理办法》第二十九条</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违反本办法第二十一条、第二十二条、第二十三条、第二十四条规定，由县级以上地方人民政府体育主管部门责令限期改正，逾期未改正的，处2万元以下的罚款。</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84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bl>
    <w:p w:rsidR="00BC5086" w:rsidRPr="00BC5086" w:rsidRDefault="00BC5086" w:rsidP="00BC5086">
      <w:pPr>
        <w:shd w:val="clear" w:color="auto" w:fill="FFFFFF"/>
        <w:adjustRightInd/>
        <w:snapToGrid/>
        <w:spacing w:after="0"/>
        <w:jc w:val="both"/>
        <w:textAlignment w:val="center"/>
        <w:rPr>
          <w:rFonts w:ascii="微软雅黑" w:hAnsi="微软雅黑" w:cs="宋体" w:hint="eastAsia"/>
          <w:color w:val="212529"/>
          <w:sz w:val="24"/>
          <w:szCs w:val="24"/>
        </w:rPr>
      </w:pPr>
      <w:r w:rsidRPr="00BC5086">
        <w:rPr>
          <w:rFonts w:ascii="宋体" w:eastAsia="宋体" w:hAnsi="宋体" w:cs="宋体" w:hint="eastAsia"/>
          <w:color w:val="212529"/>
          <w:sz w:val="20"/>
          <w:szCs w:val="20"/>
        </w:rPr>
        <w:t>说明：配套监管措施主要是包容观察、预警提示、容缺执法、说服教育、劝导示范、行政建议、行政指导、行政约谈、行政告诫、行政回访等方式。</w:t>
      </w:r>
    </w:p>
    <w:p w:rsidR="00BC5086" w:rsidRPr="00BC5086" w:rsidRDefault="00BC5086" w:rsidP="00BC5086">
      <w:pPr>
        <w:shd w:val="clear" w:color="auto" w:fill="FFFFFF"/>
        <w:adjustRightInd/>
        <w:snapToGrid/>
        <w:spacing w:after="0" w:line="480" w:lineRule="atLeast"/>
        <w:jc w:val="both"/>
        <w:rPr>
          <w:rFonts w:ascii="微软雅黑" w:hAnsi="微软雅黑" w:cs="宋体" w:hint="eastAsia"/>
          <w:color w:val="212529"/>
          <w:sz w:val="24"/>
          <w:szCs w:val="24"/>
        </w:rPr>
      </w:pPr>
      <w:r w:rsidRPr="00BC5086">
        <w:rPr>
          <w:rFonts w:ascii="黑体" w:eastAsia="黑体" w:hAnsi="黑体" w:cs="宋体" w:hint="eastAsia"/>
          <w:color w:val="212529"/>
          <w:sz w:val="32"/>
          <w:szCs w:val="32"/>
        </w:rPr>
        <w:t> </w:t>
      </w:r>
    </w:p>
    <w:p w:rsidR="00BC5086" w:rsidRPr="00BC5086" w:rsidRDefault="00BC5086" w:rsidP="00BC5086">
      <w:pPr>
        <w:shd w:val="clear" w:color="auto" w:fill="FFFFFF"/>
        <w:adjustRightInd/>
        <w:snapToGrid/>
        <w:spacing w:after="0" w:line="480" w:lineRule="atLeast"/>
        <w:jc w:val="both"/>
        <w:rPr>
          <w:rFonts w:ascii="微软雅黑" w:hAnsi="微软雅黑" w:cs="宋体" w:hint="eastAsia"/>
          <w:color w:val="212529"/>
          <w:sz w:val="24"/>
          <w:szCs w:val="24"/>
        </w:rPr>
      </w:pPr>
      <w:r w:rsidRPr="00BC5086">
        <w:rPr>
          <w:rFonts w:ascii="黑体" w:eastAsia="黑体" w:hAnsi="黑体" w:cs="宋体" w:hint="eastAsia"/>
          <w:color w:val="212529"/>
          <w:sz w:val="32"/>
          <w:szCs w:val="32"/>
        </w:rPr>
        <w:t> </w:t>
      </w:r>
    </w:p>
    <w:p w:rsidR="00BC5086" w:rsidRPr="00BC5086" w:rsidRDefault="00BC5086" w:rsidP="00BC5086">
      <w:pPr>
        <w:shd w:val="clear" w:color="auto" w:fill="FFFFFF"/>
        <w:adjustRightInd/>
        <w:snapToGrid/>
        <w:spacing w:after="0" w:line="480" w:lineRule="atLeast"/>
        <w:jc w:val="both"/>
        <w:rPr>
          <w:rFonts w:ascii="微软雅黑" w:hAnsi="微软雅黑" w:cs="宋体" w:hint="eastAsia"/>
          <w:color w:val="212529"/>
          <w:sz w:val="24"/>
          <w:szCs w:val="24"/>
        </w:rPr>
      </w:pPr>
      <w:r w:rsidRPr="00BC5086">
        <w:rPr>
          <w:rFonts w:ascii="黑体" w:eastAsia="黑体" w:hAnsi="黑体" w:cs="宋体" w:hint="eastAsia"/>
          <w:color w:val="212529"/>
          <w:sz w:val="32"/>
          <w:szCs w:val="32"/>
        </w:rPr>
        <w:t> </w:t>
      </w:r>
    </w:p>
    <w:p w:rsidR="00BC5086" w:rsidRPr="00BC5086" w:rsidRDefault="00BC5086" w:rsidP="00BC5086">
      <w:pPr>
        <w:shd w:val="clear" w:color="auto" w:fill="FFFFFF"/>
        <w:adjustRightInd/>
        <w:snapToGrid/>
        <w:spacing w:after="0" w:line="480" w:lineRule="atLeast"/>
        <w:jc w:val="both"/>
        <w:rPr>
          <w:rFonts w:ascii="微软雅黑" w:hAnsi="微软雅黑" w:cs="宋体" w:hint="eastAsia"/>
          <w:color w:val="212529"/>
          <w:sz w:val="24"/>
          <w:szCs w:val="24"/>
        </w:rPr>
      </w:pPr>
      <w:r w:rsidRPr="00BC5086">
        <w:rPr>
          <w:rFonts w:ascii="黑体" w:eastAsia="黑体" w:hAnsi="黑体" w:cs="宋体" w:hint="eastAsia"/>
          <w:color w:val="212529"/>
          <w:sz w:val="32"/>
          <w:szCs w:val="32"/>
        </w:rPr>
        <w:t> </w:t>
      </w:r>
    </w:p>
    <w:p w:rsidR="00BC5086" w:rsidRPr="00BC5086" w:rsidRDefault="00BC5086" w:rsidP="00BC5086">
      <w:pPr>
        <w:shd w:val="clear" w:color="auto" w:fill="FFFFFF"/>
        <w:adjustRightInd/>
        <w:snapToGrid/>
        <w:spacing w:after="0" w:line="480" w:lineRule="atLeast"/>
        <w:jc w:val="both"/>
        <w:rPr>
          <w:rFonts w:ascii="微软雅黑" w:hAnsi="微软雅黑" w:cs="宋体" w:hint="eastAsia"/>
          <w:color w:val="212529"/>
          <w:sz w:val="24"/>
          <w:szCs w:val="24"/>
        </w:rPr>
      </w:pPr>
      <w:r w:rsidRPr="00BC5086">
        <w:rPr>
          <w:rFonts w:ascii="黑体" w:eastAsia="黑体" w:hAnsi="黑体" w:cs="宋体" w:hint="eastAsia"/>
          <w:color w:val="212529"/>
          <w:sz w:val="32"/>
          <w:szCs w:val="32"/>
        </w:rPr>
        <w:t> </w:t>
      </w:r>
    </w:p>
    <w:p w:rsidR="00BC5086" w:rsidRPr="00BC5086" w:rsidRDefault="00BC5086" w:rsidP="00BC5086">
      <w:pPr>
        <w:shd w:val="clear" w:color="auto" w:fill="FFFFFF"/>
        <w:adjustRightInd/>
        <w:snapToGrid/>
        <w:spacing w:after="0" w:line="480" w:lineRule="atLeast"/>
        <w:jc w:val="both"/>
        <w:rPr>
          <w:rFonts w:ascii="微软雅黑" w:hAnsi="微软雅黑" w:cs="宋体" w:hint="eastAsia"/>
          <w:color w:val="212529"/>
          <w:sz w:val="24"/>
          <w:szCs w:val="24"/>
        </w:rPr>
      </w:pPr>
      <w:r w:rsidRPr="00BC5086">
        <w:rPr>
          <w:rFonts w:ascii="黑体" w:eastAsia="黑体" w:hAnsi="黑体" w:cs="宋体" w:hint="eastAsia"/>
          <w:color w:val="212529"/>
          <w:sz w:val="32"/>
          <w:szCs w:val="32"/>
        </w:rPr>
        <w:t> </w:t>
      </w:r>
    </w:p>
    <w:p w:rsidR="00BC5086" w:rsidRPr="00BC5086" w:rsidRDefault="00BC5086" w:rsidP="00BC5086">
      <w:pPr>
        <w:shd w:val="clear" w:color="auto" w:fill="FFFFFF"/>
        <w:adjustRightInd/>
        <w:snapToGrid/>
        <w:spacing w:after="0" w:line="480" w:lineRule="atLeast"/>
        <w:jc w:val="both"/>
        <w:rPr>
          <w:rFonts w:ascii="微软雅黑" w:hAnsi="微软雅黑" w:cs="宋体" w:hint="eastAsia"/>
          <w:color w:val="212529"/>
          <w:sz w:val="24"/>
          <w:szCs w:val="24"/>
        </w:rPr>
      </w:pPr>
      <w:r w:rsidRPr="00BC5086">
        <w:rPr>
          <w:rFonts w:ascii="黑体" w:eastAsia="黑体" w:hAnsi="黑体" w:cs="宋体" w:hint="eastAsia"/>
          <w:color w:val="212529"/>
          <w:sz w:val="32"/>
          <w:szCs w:val="32"/>
        </w:rPr>
        <w:t> </w:t>
      </w:r>
    </w:p>
    <w:p w:rsidR="00BC5086" w:rsidRPr="00BC5086" w:rsidRDefault="00BC5086" w:rsidP="00BC5086">
      <w:pPr>
        <w:shd w:val="clear" w:color="auto" w:fill="FFFFFF"/>
        <w:adjustRightInd/>
        <w:snapToGrid/>
        <w:spacing w:after="0" w:line="480" w:lineRule="atLeast"/>
        <w:jc w:val="both"/>
        <w:rPr>
          <w:rFonts w:ascii="微软雅黑" w:hAnsi="微软雅黑" w:cs="宋体" w:hint="eastAsia"/>
          <w:color w:val="212529"/>
          <w:sz w:val="24"/>
          <w:szCs w:val="24"/>
        </w:rPr>
      </w:pPr>
      <w:r w:rsidRPr="00BC5086">
        <w:rPr>
          <w:rFonts w:ascii="黑体" w:eastAsia="黑体" w:hAnsi="黑体" w:cs="宋体" w:hint="eastAsia"/>
          <w:color w:val="212529"/>
          <w:sz w:val="32"/>
          <w:szCs w:val="32"/>
        </w:rPr>
        <w:t> </w:t>
      </w:r>
    </w:p>
    <w:p w:rsidR="00BC5086" w:rsidRPr="00BC5086" w:rsidRDefault="00BC5086" w:rsidP="00BC5086">
      <w:pPr>
        <w:shd w:val="clear" w:color="auto" w:fill="FFFFFF"/>
        <w:adjustRightInd/>
        <w:snapToGrid/>
        <w:spacing w:after="0" w:line="480" w:lineRule="atLeast"/>
        <w:jc w:val="both"/>
        <w:rPr>
          <w:rFonts w:ascii="微软雅黑" w:hAnsi="微软雅黑" w:cs="宋体" w:hint="eastAsia"/>
          <w:color w:val="212529"/>
          <w:sz w:val="24"/>
          <w:szCs w:val="24"/>
        </w:rPr>
      </w:pPr>
    </w:p>
    <w:p w:rsidR="00BC5086" w:rsidRPr="00BC5086" w:rsidRDefault="00BC5086" w:rsidP="00BC5086">
      <w:pPr>
        <w:shd w:val="clear" w:color="auto" w:fill="FFFFFF"/>
        <w:adjustRightInd/>
        <w:snapToGrid/>
        <w:spacing w:after="0" w:line="480" w:lineRule="atLeast"/>
        <w:jc w:val="center"/>
        <w:rPr>
          <w:rFonts w:ascii="微软雅黑" w:hAnsi="微软雅黑" w:cs="宋体" w:hint="eastAsia"/>
          <w:color w:val="212529"/>
          <w:sz w:val="24"/>
          <w:szCs w:val="24"/>
        </w:rPr>
      </w:pPr>
      <w:r>
        <w:rPr>
          <w:rFonts w:ascii="方正小标宋_GBK" w:eastAsia="方正小标宋_GBK" w:hAnsi="微软雅黑" w:cs="宋体" w:hint="eastAsia"/>
          <w:color w:val="212529"/>
          <w:sz w:val="44"/>
          <w:szCs w:val="44"/>
        </w:rPr>
        <w:lastRenderedPageBreak/>
        <w:t>广水市</w:t>
      </w:r>
      <w:r w:rsidRPr="00BC5086">
        <w:rPr>
          <w:rFonts w:ascii="方正小标宋_GBK" w:eastAsia="方正小标宋_GBK" w:hAnsi="微软雅黑" w:cs="宋体" w:hint="eastAsia"/>
          <w:color w:val="212529"/>
          <w:sz w:val="44"/>
          <w:szCs w:val="44"/>
        </w:rPr>
        <w:t>文化和旅游局从轻处罚事项清单（共17项）</w:t>
      </w:r>
    </w:p>
    <w:p w:rsidR="00BC5086" w:rsidRPr="00BC5086" w:rsidRDefault="00BC5086" w:rsidP="00BC5086">
      <w:pPr>
        <w:shd w:val="clear" w:color="auto" w:fill="FFFFFF"/>
        <w:adjustRightInd/>
        <w:snapToGrid/>
        <w:spacing w:after="0" w:line="480" w:lineRule="atLeast"/>
        <w:jc w:val="center"/>
        <w:rPr>
          <w:rFonts w:ascii="微软雅黑" w:hAnsi="微软雅黑" w:cs="宋体" w:hint="eastAsia"/>
          <w:color w:val="212529"/>
          <w:sz w:val="24"/>
          <w:szCs w:val="24"/>
        </w:rPr>
      </w:pPr>
      <w:r w:rsidRPr="00BC5086">
        <w:rPr>
          <w:rFonts w:ascii="方正小标宋_GBK" w:eastAsia="方正小标宋_GBK" w:hAnsi="微软雅黑" w:cs="宋体" w:hint="eastAsia"/>
          <w:color w:val="212529"/>
          <w:sz w:val="44"/>
          <w:szCs w:val="44"/>
        </w:rPr>
        <w:br/>
      </w:r>
    </w:p>
    <w:tbl>
      <w:tblPr>
        <w:tblW w:w="0" w:type="auto"/>
        <w:jc w:val="center"/>
        <w:tblBorders>
          <w:top w:val="outset" w:sz="6" w:space="0" w:color="333333"/>
          <w:left w:val="outset" w:sz="6" w:space="0" w:color="333333"/>
          <w:bottom w:val="outset" w:sz="6" w:space="0" w:color="333333"/>
          <w:right w:val="outset" w:sz="6" w:space="0" w:color="333333"/>
        </w:tblBorders>
        <w:shd w:val="clear" w:color="auto" w:fill="FFFFFF"/>
        <w:tblCellMar>
          <w:left w:w="0" w:type="dxa"/>
          <w:right w:w="0" w:type="dxa"/>
        </w:tblCellMar>
        <w:tblLook w:val="04A0"/>
      </w:tblPr>
      <w:tblGrid>
        <w:gridCol w:w="674"/>
        <w:gridCol w:w="1679"/>
        <w:gridCol w:w="2001"/>
        <w:gridCol w:w="2940"/>
        <w:gridCol w:w="1222"/>
      </w:tblGrid>
      <w:tr w:rsidR="00BC5086" w:rsidRPr="00BC5086" w:rsidTr="00BC5086">
        <w:trPr>
          <w:trHeight w:val="810"/>
          <w:jc w:val="center"/>
        </w:trPr>
        <w:tc>
          <w:tcPr>
            <w:tcW w:w="84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序号</w:t>
            </w:r>
          </w:p>
        </w:tc>
        <w:tc>
          <w:tcPr>
            <w:tcW w:w="267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处罚事项</w:t>
            </w:r>
          </w:p>
        </w:tc>
        <w:tc>
          <w:tcPr>
            <w:tcW w:w="336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从轻处罚的情形</w:t>
            </w:r>
          </w:p>
        </w:tc>
        <w:tc>
          <w:tcPr>
            <w:tcW w:w="537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从轻处罚的依据</w:t>
            </w:r>
          </w:p>
        </w:tc>
        <w:tc>
          <w:tcPr>
            <w:tcW w:w="192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配套监管措施</w:t>
            </w:r>
          </w:p>
        </w:tc>
      </w:tr>
      <w:tr w:rsidR="00BC5086" w:rsidRPr="00BC5086" w:rsidTr="00BC5086">
        <w:trPr>
          <w:trHeight w:val="810"/>
          <w:jc w:val="center"/>
        </w:trPr>
        <w:tc>
          <w:tcPr>
            <w:tcW w:w="8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1</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对互联网上网服务营业场所经营单位涂改、出租、出借或者以其他方式转让《网络文化经营许可证》，尚不够刑事处罚的行政处罚</w:t>
            </w:r>
          </w:p>
        </w:tc>
        <w:tc>
          <w:tcPr>
            <w:tcW w:w="33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3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wordWrap w:val="0"/>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处罚依据：《互联网上网服务营业场所管理条例》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九条：互联网上网服务营业场所经营单位违反本条例的规定，涂改、出租、出借或者以其他方式转让《网络文化经营许可证》，触犯刑律的，依照刑法关于伪造、变造、买卖国家机关公文、证件、印章罪的规定，依法追究刑事责任；尚不够刑事处罚的，由文化行政部门吊销《网络文化经营许可证》，没收违法所得；违法经营额5000元以上的，并处违法经营额2倍以上5倍以下的罚款；违法经营额不足5000元的，并处5000元以上1万元以下的罚款。</w:t>
            </w:r>
          </w:p>
          <w:p w:rsidR="00BC5086" w:rsidRPr="00BC5086" w:rsidRDefault="00BC5086" w:rsidP="00BC5086">
            <w:pPr>
              <w:wordWrap w:val="0"/>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从轻处罚依据：《中华人民共和国行政处罚法》第三十二条　当事人有下列情形之一，应当从轻或者减轻行政处罚：</w:t>
            </w:r>
          </w:p>
          <w:p w:rsidR="00BC5086" w:rsidRPr="00BC5086" w:rsidRDefault="00BC5086" w:rsidP="00BC5086">
            <w:pPr>
              <w:wordWrap w:val="0"/>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wordWrap w:val="0"/>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wordWrap w:val="0"/>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wordWrap w:val="0"/>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wordWrap w:val="0"/>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r w:rsidR="00BC5086" w:rsidRPr="00BC5086" w:rsidTr="00BC5086">
        <w:trPr>
          <w:trHeight w:val="810"/>
          <w:jc w:val="center"/>
        </w:trPr>
        <w:tc>
          <w:tcPr>
            <w:tcW w:w="8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2</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对娱乐场所变更有关事项，未按照《娱乐场所管理条例》规定申请重新核发娱乐经营许可证等行为的行政处罚</w:t>
            </w:r>
          </w:p>
        </w:tc>
        <w:tc>
          <w:tcPr>
            <w:tcW w:w="33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3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处罚依据：《娱乐场所管理条例》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四十九条：娱乐场所违反本条例规定，有下列情形之一的，由县级人民政府文化主管部门责令改正，给予警告；情节严重的，责令停业整顿1个月至3个月：（一）变更有关事项，未按照本条例规定申请重新核发娱乐经营许可证的；（二）在本条例规定的禁止营业时间内营业的；（三）从业人员在营业期间未统一着装并佩带工作标志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从轻处罚依据：《中华人民共和国行政处罚法》第三十二条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r w:rsidR="00BC5086" w:rsidRPr="00BC5086" w:rsidTr="00BC5086">
        <w:trPr>
          <w:trHeight w:val="810"/>
          <w:jc w:val="center"/>
        </w:trPr>
        <w:tc>
          <w:tcPr>
            <w:tcW w:w="8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3</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对变更演出的名称、时间、地点、场次未重新报批等行为的行政处罚</w:t>
            </w:r>
          </w:p>
        </w:tc>
        <w:tc>
          <w:tcPr>
            <w:tcW w:w="33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3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处罚依据：《营业性演出管理条例》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四十四条第二款：违反本条例第十六条第三款规定，变更演出举办单位、参加演出的文艺表演团体、演员或者节目未重新报批的，依照前款规定处罚；变更演出的名称、时间、地点、场次未重新报批的，由县级人民政府文化主管部门责令改正，给予警告，可以并处3万元以下的罚款。 第十六条第三款：营业性演出需要变更申请材料所列事项的，应当分别依照本条例第十三条、第十五条规定重新报批。 第十三条：举办营业性演出，应当向演出所在地县级人民政府文化主管部门提出申请。县级人民政府文化主管部</w:t>
            </w:r>
            <w:r w:rsidRPr="00BC5086">
              <w:rPr>
                <w:rFonts w:ascii="宋体" w:eastAsia="宋体" w:hAnsi="宋体" w:cs="Segoe UI" w:hint="eastAsia"/>
                <w:color w:val="212529"/>
                <w:sz w:val="20"/>
                <w:szCs w:val="20"/>
              </w:rPr>
              <w:lastRenderedPageBreak/>
              <w:t>门应当自受理申请之日起3日内作出决定。对符合本条例第二十五条规定的，发给批准文件；对不符合本条例第二十五条规定的，不予批准，书面通知申请人并说明理由。 第十五条：举办外国的文艺表演团体、个人参加的营业性演出，演出举办单位应当向演出所在地省、自治区、直辖市人民政府文化主管部门提出申请。举办香港特别行政区、澳门特别行政区的文艺表演团体、个人参加的营业性演出，演出举办单位应当向演出所在地省、自治区、直辖市人民政府文化主管部门提出申请；举办台湾地区的文艺表演团体、个人参加的营业性演出，演出举办单位应当向国务院文化主管部门会同国务院有关部门规定的审批机关提出申请。 国务院文化主管部门或者省、自治区、直辖市人民政府文化主管部门应当自受理申请之日起20日内作出决定。对符合本条例第二十五条规定的，发给批准文件；对不符合本条例第二十五条规定的，不予批准，书面通知申请人并说明理由。</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从轻处罚依据：《中华人民共和国行政处罚法》第三十二条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4</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对演出举办单位没有现场演唱、演奏记录的行政处罚</w:t>
            </w:r>
          </w:p>
        </w:tc>
        <w:tc>
          <w:tcPr>
            <w:tcW w:w="33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3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处罚依据：《营业性演出管理条例实施细则》</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第五十二条第一款：违反本实施细则第二十八条规定，演出举办单位没有现场演唱、演奏记录的，由县级文化主管部门处以3000元以下罚款。 第二十八条：营业性演出不得以假唱、假演奏等手段欺骗观众。 前款所称假唱、假演奏是指演员在演出过程中，使用事先录制好的歌曲、乐曲代替现场演唱、演奏的行为。 演出举办单位应当派专人对演唱、演奏行为进行监督，并作出记录备查。记录内容包括演员、乐队、曲目的名称和演唱、演奏过程的基本情况，并由演出举办单位负责人和监督人员签字确认。</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从轻处罚依据：《中华人民共和国行政处罚法》第三十二条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r w:rsidR="00BC5086" w:rsidRPr="00BC5086" w:rsidTr="00BC5086">
        <w:trPr>
          <w:trHeight w:val="810"/>
          <w:jc w:val="center"/>
        </w:trPr>
        <w:tc>
          <w:tcPr>
            <w:tcW w:w="8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5</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对互联网文化单位未在其网站主页的显著位置标明文化行政部门颁发的《网络文化经营许可证》编号或者备案编号的行政处罚</w:t>
            </w:r>
          </w:p>
        </w:tc>
        <w:tc>
          <w:tcPr>
            <w:tcW w:w="33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3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处罚依据：《互联网文化管理暂行规定》</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第二十三条：经营性互联网文化单位违反本规定第十二条的，由县级以上人民政府文化行政部门或者文化市场综合执法机构责令限期改正，并可根据情节轻重处10000元以下罚款。 非经营性互联网文化单位违反本规定第十二条的，由县级以上人民政府文化行政部门或者文化市场综合执法机构责令限期改正；拒不改正的，责令停止互联网</w:t>
            </w:r>
            <w:r w:rsidRPr="00BC5086">
              <w:rPr>
                <w:rFonts w:ascii="宋体" w:eastAsia="宋体" w:hAnsi="宋体" w:cs="Segoe UI" w:hint="eastAsia"/>
                <w:color w:val="212529"/>
                <w:sz w:val="20"/>
                <w:szCs w:val="20"/>
              </w:rPr>
              <w:lastRenderedPageBreak/>
              <w:t>文化活动，并处500元以下罚款。 第十二条：互联网文化单位应当在其网站主页的显著位置标明文化行政部门颁发的《网络文化经营许可证》编号或者备案编号，标明国务院信息产业主管部门或者省、自治区、直辖市电信管理机构颁发的经营许可证编号或者备案编号。</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从轻处罚依据：《中华人民共和国行政处罚法》第三十二条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 </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6</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对经营性互联网文化单位违反《互联网文化管理暂行规定》第十五条，经营进口互联网文化产品未在其显著位置标明文旅部批准文号、经营国产互联网文化产品未在其显著位置标明文旅部备案编号的行政处罚</w:t>
            </w:r>
          </w:p>
        </w:tc>
        <w:tc>
          <w:tcPr>
            <w:tcW w:w="33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3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处罚依据：《互联网文化管理暂行规定》</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第二十三条：经营性互联网文化单位违反本规定第十二条的，由县级以上人民政府文化行政部门或者文化市场综合执法机构责令限期改正，并可根据情节轻重处10000元以下罚款。 非经营性互联网文化单位违反本规定第十二条的，由县级以上人民政府文化行政部门或者文化市场综合执法机构责令限期改正；拒不改正的，责令停止互联网文化活动，并处500元以下罚款。 第十二条：互联网文化单位应当在其网站主页的显著位置标明文化行政部门颁发的《网络文化经营许可证》编号或者备案编号，标明国务院信</w:t>
            </w:r>
            <w:r w:rsidRPr="00BC5086">
              <w:rPr>
                <w:rFonts w:ascii="宋体" w:eastAsia="宋体" w:hAnsi="宋体" w:cs="Segoe UI" w:hint="eastAsia"/>
                <w:color w:val="212529"/>
                <w:sz w:val="20"/>
                <w:szCs w:val="20"/>
              </w:rPr>
              <w:lastRenderedPageBreak/>
              <w:t>息产业主管部门或者省、自治区、直辖市电信管理机构颁发的经营许可证编号或者备案编号。</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从轻处罚依据：《中华人民共和国行政处罚法》第三十二条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 </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7</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对经营性互联网文化单位经营国产互联网文化产品逾期未报文化行政部门备案的行政处罚</w:t>
            </w:r>
          </w:p>
        </w:tc>
        <w:tc>
          <w:tcPr>
            <w:tcW w:w="33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3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处罚依据：《互联网文化管理暂行规定》</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七条：经营性互联网文化单位违反本规定第十五条，经营国产互联网文化产品逾期未报文化行政部门备案的，由县级以上人民政府文化行政部门或者文化市场综合执法机构责令改正，并可根据情节轻重处20000元以下罚款。 第十五条：经营进口互联网文化产品的活动应当由取得文化行政部门核发的《网络文化经营许可证》的经营性互联网文化单位实施，进口互联网文化产品应当报文化部门进行内容审查。</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文化和旅游部应当自受理内容审查申请之日起20日内（不包括专家评审所需时间）作出批准或者不批准的决定。批准的，发给批准文件；不批准的，应当说明理由。 经批准的进口互联网文化产品应当在其显著位置标明文旅部的批准文号，不得擅自变更产品名称或者增删产品内</w:t>
            </w:r>
            <w:r w:rsidRPr="00BC5086">
              <w:rPr>
                <w:rFonts w:ascii="宋体" w:eastAsia="宋体" w:hAnsi="宋体" w:cs="Segoe UI" w:hint="eastAsia"/>
                <w:color w:val="212529"/>
                <w:sz w:val="20"/>
                <w:szCs w:val="20"/>
              </w:rPr>
              <w:lastRenderedPageBreak/>
              <w:t>容。自批准之日起一年内未在国内经营的，进口单位应当报文旅部备案并说明原因；决定终止进口的，文旅部撤销其批准文号。 经营性互联网文化单位经营的国产互联网文化产品应当自正式经营起30日内报省级以上文化行政部门备案，并在其显著位置标明文旅部备案编号，具体办法另行规定。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从轻处罚依据：《中华人民共和国行政处罚法》第三十二条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8</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对经营性互联网文化单位未建立自审制度的行政处罚</w:t>
            </w:r>
          </w:p>
        </w:tc>
        <w:tc>
          <w:tcPr>
            <w:tcW w:w="33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3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处罚依据：《互联网文化管理暂行规定》</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第二十九条：经营性互联网文化单位违反本规定第十八条的，由县级以上人民政府文化行政部门或者文化市场综合执法机构责令改正，并可根据情节轻重处20000元以下罚款。 第十八条：互联网文化单位应当建立自审制度，明确专门部门，配备专业人员负责互联网文化产品内容和活动的自查与管理，保障互联网文化产品内容和活动的合法性。</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从轻处罚依据：《中华人民共和国行政处罚法》第三十二条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w:t>
            </w:r>
            <w:r w:rsidRPr="00BC5086">
              <w:rPr>
                <w:rFonts w:ascii="宋体" w:eastAsia="宋体" w:hAnsi="宋体" w:cs="Segoe UI" w:hint="eastAsia"/>
                <w:color w:val="212529"/>
                <w:sz w:val="20"/>
                <w:szCs w:val="20"/>
              </w:rPr>
              <w:lastRenderedPageBreak/>
              <w:t>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 </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9</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对设立从事艺术品经营活动的经营单位未按规定到住所地县级以上人民政府文化行政部门备案的行政处罚</w:t>
            </w:r>
          </w:p>
        </w:tc>
        <w:tc>
          <w:tcPr>
            <w:tcW w:w="33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3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艺术品经营管理办法》第十九条：违反本办法第五条规定的，由县级以上人民政府文化行政部门或者依法授权的文化市场综合执法机构责令改正，并可根据情节轻重处10000元以下罚款。第五条：设立从事艺术品经营活动的经营单位，应当到其住所地县级以上人民政府工商行政管理部门申领营业执照，并在领取营业执照之日起15日内，到其住所地县级以上人民政府文化行政部门备案。其他经营单位增设艺术品经营业务的，应当按前款办理备案手续。</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从轻处罚依据：《中华人民共和国行政处罚法》第三十二条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w:t>
            </w:r>
            <w:r w:rsidRPr="00BC5086">
              <w:rPr>
                <w:rFonts w:ascii="宋体" w:eastAsia="宋体" w:hAnsi="宋体" w:cs="Segoe UI" w:hint="eastAsia"/>
                <w:color w:val="212529"/>
                <w:sz w:val="20"/>
                <w:szCs w:val="20"/>
              </w:rPr>
              <w:lastRenderedPageBreak/>
              <w:t>罚的。</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10</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对所经营的艺术品未标明作者、年代、尺寸、材料、保存状况和销售价格等信息等行为的行政处罚</w:t>
            </w:r>
          </w:p>
        </w:tc>
        <w:tc>
          <w:tcPr>
            <w:tcW w:w="33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3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处罚依据：《艺术品经营管理办法》</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第二十二条：违反本办法第九条、第十一条规定的，由县级以上人民政府文化行政部门或者依法授权的文化市场综合执法机构责令改正，并可根据情节轻重处30000元以下罚款。 第九条：艺术品经营单位应当遵守以下规定：（一）对所经营的艺术品应当标明作者、年代、尺寸、材料、保存状况和销售价格等信息；（二）保留交易有关的原始凭证、销售合同、台账、账簿等销售记录，法律、法规要求有明确期限的，按照法律、法规规定执行；法律、法规没有明确规定的，保存期不得少于5年。 第十一条：艺术品经营单位从事艺术品鉴定、评估等服务，应当遵守以下规定：（一）与委托人签订书面协议，约定鉴定、评估的事项，鉴定、评估的结论适用范围以及被委托人应当承担的责任；（二）明示艺术品鉴定、评估程序或者需要告知、提示委托人的事项；（三）书面出具鉴定、评估结论，鉴定、评估结论应当包括对委托艺术品的全面客观说明，鉴定、评估的程序，作出鉴定、评估结论的证据，鉴定、评估结论的责任说明，并对鉴定、评估结论的真实性负责；（四）保留书面鉴定、评估结论副本及鉴定、评估人签字等档案不得少于5年。</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从轻处罚依据：《中华人民共和国行政处罚法》第三十二条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 </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11</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设立分社未在规定期限内向分社所在地旅游行政管理部门备案的</w:t>
            </w:r>
          </w:p>
        </w:tc>
        <w:tc>
          <w:tcPr>
            <w:tcW w:w="33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3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处罚依据：《旅行社条例》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五十条：违反本条例的规定，旅行社有下列情形之一的，由旅游行政管理部门责令改正；拒不改正的，处1万元以下的罚款：（一）变更名称、经营场所、法定代表人等登记事项或者终止经营，未在规定期限内向原许可的旅游行政管理部门备案，换领或者交回旅行社业务经营许可证的；（二）设立分社未在规定期限内向分社所在地旅游行政管理部门备案的；（三）不按照国家有关规定向旅游行政管理部门报送经营和财务信息等统计资料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从轻处罚依据：《中华人民共和国行政处罚法》第三十二条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 </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r w:rsidR="00BC5086" w:rsidRPr="00BC5086" w:rsidTr="00BC5086">
        <w:trPr>
          <w:trHeight w:val="810"/>
          <w:jc w:val="center"/>
        </w:trPr>
        <w:tc>
          <w:tcPr>
            <w:tcW w:w="8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12</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不按照国家有关规定向旅游行政管理部门报送经营和财务信息等统计资料的。</w:t>
            </w:r>
          </w:p>
        </w:tc>
        <w:tc>
          <w:tcPr>
            <w:tcW w:w="33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3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处罚依据：《旅行社条例》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五十条：违反本条例的规定，旅行社有下列情形之一的，由旅游行政管理部门责令改正；拒不改正的，处1万元以下的罚款：（一）变更名称、经营场所、法定代表人等登记事项或者终止经营，未在规定期限内向原许可的旅游行政管理部门备案，换领或者交回旅行社业务经营许可证的；（二）设立分社未在规定期限内向分社所在地旅游行政管理部门备案的；（三）不按照国家有关规定向旅游行政管理部门报送经营和财务信息等统计资料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从轻处罚依据：《中华人民共和国行政处罚法》第三十二条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 </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r w:rsidR="00BC5086" w:rsidRPr="00BC5086" w:rsidTr="00BC5086">
        <w:trPr>
          <w:trHeight w:val="810"/>
          <w:jc w:val="center"/>
        </w:trPr>
        <w:tc>
          <w:tcPr>
            <w:tcW w:w="8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13</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领队委托他人代为提供领队服务的</w:t>
            </w:r>
          </w:p>
        </w:tc>
        <w:tc>
          <w:tcPr>
            <w:tcW w:w="33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3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处罚依据：《旅行社条例实施细则》</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第五十九条：违反本实施细则第三十五条第二款的规定，领队委托他人代为提供领队服务，由县级以上旅游行政管理部门责令改正，可以处1万元以下的罚款。 第三十五条第二款：领队不得委托他人代为提供领队服务。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 xml:space="preserve">从轻处罚依据：《中华人民共和国行政处罚法》第三十二条　</w:t>
            </w:r>
            <w:r w:rsidRPr="00BC5086">
              <w:rPr>
                <w:rFonts w:ascii="宋体" w:eastAsia="宋体" w:hAnsi="宋体" w:cs="Segoe UI" w:hint="eastAsia"/>
                <w:color w:val="212529"/>
                <w:sz w:val="20"/>
                <w:szCs w:val="20"/>
              </w:rPr>
              <w:lastRenderedPageBreak/>
              <w:t>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 </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14</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同一旅游团队的旅游者提出与其他旅游者不同合同事项的</w:t>
            </w:r>
          </w:p>
        </w:tc>
        <w:tc>
          <w:tcPr>
            <w:tcW w:w="33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3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处罚依据：《旅行社条例实施细则》</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六十一条：违反本实施细则第三十九条的规定，要求旅游者必须参加旅行社安排的购物活动、需要旅游者另行付费的旅游项目，或者对同一旅游团队的旅游者提出与其他旅游者不同合同事项的，由县级以上旅游行政管理部门责令改正，处1万元以下的罚款。 第三十九条第二款：同一旅游团队中，旅行社不得由于下列因素，提出与其他旅游者不同的合同事项：（一）旅游者拒绝参加旅行社安排的购物活动或者需要旅游者另行付费的旅游项目的；（二）旅游者存在的年龄或者职业上的差异。但旅行社提供了与其他旅游者相比更多的服务，或者旅游者主动要求的除外。</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从轻处罚依据：《中华人民共和国行政处罚法》第三十二条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w:t>
            </w:r>
            <w:r w:rsidRPr="00BC5086">
              <w:rPr>
                <w:rFonts w:ascii="宋体" w:eastAsia="宋体" w:hAnsi="宋体" w:cs="Segoe UI" w:hint="eastAsia"/>
                <w:color w:val="212529"/>
                <w:sz w:val="20"/>
                <w:szCs w:val="20"/>
              </w:rPr>
              <w:lastRenderedPageBreak/>
              <w:t>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 </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15</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导游未按期报告信息变更情况等行为</w:t>
            </w:r>
          </w:p>
        </w:tc>
        <w:tc>
          <w:tcPr>
            <w:tcW w:w="33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3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处罚依据：《导游管理办法》</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三十三条第一款：违反本办法规定，导游有下列行为的，由县级以上旅游主管部门责令改正，并可以处1000元以下罚款；情节严重的，可以处1000元以上5000元以下罚款：（一）未按期报告信息变更情况的；（二）未申请变更导游证信息的；（三）未更换导游身份标识的；（四）不依照本办法第二十四条规定采取相应措施的；（五）未按规定参加旅游主管部门组织的培训的；（六）向负责监督检查的旅游主管部门隐瞒有关情况、提供虚假材料或者拒绝提供反映其活动情况的真实材料的；（七）在导游服务星级评价中提供虚假材料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从轻处罚依据：《中华人民共和国行政处罚法》第三十二条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w:t>
            </w:r>
            <w:r w:rsidRPr="00BC5086">
              <w:rPr>
                <w:rFonts w:ascii="宋体" w:eastAsia="宋体" w:hAnsi="宋体" w:cs="Segoe UI" w:hint="eastAsia"/>
                <w:color w:val="212529"/>
                <w:sz w:val="20"/>
                <w:szCs w:val="20"/>
              </w:rPr>
              <w:lastRenderedPageBreak/>
              <w:t>其他应当从轻或者减轻行政处罚的。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 </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810"/>
          <w:jc w:val="center"/>
        </w:trPr>
        <w:tc>
          <w:tcPr>
            <w:tcW w:w="8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16</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旅行社或者旅游行业组织未按期报告信息变更情况等行为的</w:t>
            </w:r>
          </w:p>
        </w:tc>
        <w:tc>
          <w:tcPr>
            <w:tcW w:w="33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3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处罚依据：《导游管理办法》</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三十三条第（一）项和第（七）项：违反本办法规定，导游有下列行为的，由县级以上旅游主管部门责令改正，并可以处1000元以下罚款；情节严重的，可以处1000元以上5000元以下罚款：（一）未按期报告信息变更情况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从轻处罚依据：《中华人民共和国行政处罚法》第三十二条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r w:rsidR="00BC5086" w:rsidRPr="00BC5086" w:rsidTr="00BC5086">
        <w:trPr>
          <w:trHeight w:val="810"/>
          <w:jc w:val="center"/>
        </w:trPr>
        <w:tc>
          <w:tcPr>
            <w:tcW w:w="8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17</w:t>
            </w:r>
          </w:p>
        </w:tc>
        <w:tc>
          <w:tcPr>
            <w:tcW w:w="26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在线旅游经营者未在全国旅游监管服务平台填报包价旅游合同有关信息的</w:t>
            </w:r>
          </w:p>
        </w:tc>
        <w:tc>
          <w:tcPr>
            <w:tcW w:w="33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37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在线旅游经营服务管理暂行规定》第三十五条：违反本规定第十六条规定，未在全国旅游监管服务平台填报包价旅游合同有关信息的，由县级以上文化和旅游主管部门责令改正，给予警告；拒不改正的，处一万元以下罚款。第十六条：在线旅游经营者为旅游者提供包价旅游服务的，应当依法与旅游者签订合同，并在全国旅游监管服务平台填报合同有关信息。</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从轻处罚依据：《中华人民共和国行政处罚法》第三十二条　当事人有下列情形之一，应当</w:t>
            </w:r>
            <w:r w:rsidRPr="00BC5086">
              <w:rPr>
                <w:rFonts w:ascii="宋体" w:eastAsia="宋体" w:hAnsi="宋体" w:cs="Segoe UI" w:hint="eastAsia"/>
                <w:color w:val="212529"/>
                <w:sz w:val="20"/>
                <w:szCs w:val="20"/>
              </w:rPr>
              <w:lastRenderedPageBreak/>
              <w:t>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 </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bl>
    <w:p w:rsidR="00BC5086" w:rsidRPr="00BC5086" w:rsidRDefault="00BC5086" w:rsidP="00BC5086">
      <w:pPr>
        <w:shd w:val="clear" w:color="auto" w:fill="FFFFFF"/>
        <w:adjustRightInd/>
        <w:snapToGrid/>
        <w:spacing w:after="0"/>
        <w:jc w:val="both"/>
        <w:textAlignment w:val="center"/>
        <w:rPr>
          <w:rFonts w:ascii="微软雅黑" w:hAnsi="微软雅黑" w:cs="宋体" w:hint="eastAsia"/>
          <w:color w:val="212529"/>
          <w:sz w:val="24"/>
          <w:szCs w:val="24"/>
        </w:rPr>
      </w:pPr>
      <w:r w:rsidRPr="00BC5086">
        <w:rPr>
          <w:rFonts w:ascii="宋体" w:eastAsia="宋体" w:hAnsi="宋体" w:cs="宋体" w:hint="eastAsia"/>
          <w:color w:val="212529"/>
          <w:sz w:val="20"/>
          <w:szCs w:val="20"/>
        </w:rPr>
        <w:lastRenderedPageBreak/>
        <w:t>说明：配套监管措施主要是包容观察、预警提示、容缺执法、说服教育、劝导示范、行政建议、行政指导、行政约谈、行政告诫、行政回访等方式</w:t>
      </w:r>
    </w:p>
    <w:p w:rsidR="00BC5086" w:rsidRPr="00BC5086" w:rsidRDefault="00BC5086" w:rsidP="00BC5086">
      <w:pPr>
        <w:shd w:val="clear" w:color="auto" w:fill="FFFFFF"/>
        <w:adjustRightInd/>
        <w:snapToGrid/>
        <w:spacing w:after="0" w:line="480" w:lineRule="atLeast"/>
        <w:jc w:val="both"/>
        <w:rPr>
          <w:rFonts w:ascii="微软雅黑" w:hAnsi="微软雅黑" w:cs="宋体" w:hint="eastAsia"/>
          <w:color w:val="212529"/>
          <w:sz w:val="24"/>
          <w:szCs w:val="24"/>
        </w:rPr>
      </w:pPr>
      <w:r w:rsidRPr="00BC5086">
        <w:rPr>
          <w:rFonts w:ascii="黑体" w:eastAsia="黑体" w:hAnsi="黑体" w:cs="宋体" w:hint="eastAsia"/>
          <w:color w:val="212529"/>
          <w:sz w:val="32"/>
          <w:szCs w:val="32"/>
        </w:rPr>
        <w:br/>
      </w:r>
    </w:p>
    <w:p w:rsidR="00BC5086" w:rsidRPr="00BC5086" w:rsidRDefault="00BC5086" w:rsidP="00BC5086">
      <w:pPr>
        <w:shd w:val="clear" w:color="auto" w:fill="FFFFFF"/>
        <w:adjustRightInd/>
        <w:snapToGrid/>
        <w:spacing w:after="0" w:line="480" w:lineRule="atLeast"/>
        <w:jc w:val="both"/>
        <w:rPr>
          <w:rFonts w:ascii="微软雅黑" w:hAnsi="微软雅黑" w:cs="宋体" w:hint="eastAsia"/>
          <w:color w:val="212529"/>
          <w:sz w:val="24"/>
          <w:szCs w:val="24"/>
        </w:rPr>
      </w:pPr>
    </w:p>
    <w:p w:rsidR="00BC5086" w:rsidRPr="00BC5086" w:rsidRDefault="00BC5086" w:rsidP="00BC5086">
      <w:pPr>
        <w:shd w:val="clear" w:color="auto" w:fill="FFFFFF"/>
        <w:adjustRightInd/>
        <w:snapToGrid/>
        <w:spacing w:after="0" w:line="480" w:lineRule="atLeast"/>
        <w:jc w:val="center"/>
        <w:rPr>
          <w:rFonts w:ascii="微软雅黑" w:hAnsi="微软雅黑" w:cs="宋体" w:hint="eastAsia"/>
          <w:color w:val="212529"/>
          <w:sz w:val="24"/>
          <w:szCs w:val="24"/>
        </w:rPr>
      </w:pPr>
      <w:r>
        <w:rPr>
          <w:rFonts w:ascii="方正小标宋_GBK" w:eastAsia="方正小标宋_GBK" w:hAnsi="微软雅黑" w:cs="宋体" w:hint="eastAsia"/>
          <w:color w:val="212529"/>
          <w:sz w:val="44"/>
          <w:szCs w:val="44"/>
        </w:rPr>
        <w:t>广水市</w:t>
      </w:r>
      <w:r w:rsidRPr="00BC5086">
        <w:rPr>
          <w:rFonts w:ascii="方正小标宋_GBK" w:eastAsia="方正小标宋_GBK" w:hAnsi="微软雅黑" w:cs="宋体" w:hint="eastAsia"/>
          <w:color w:val="212529"/>
          <w:sz w:val="44"/>
          <w:szCs w:val="44"/>
        </w:rPr>
        <w:t>文化和旅游局减轻处罚事项清单（共8项）</w:t>
      </w:r>
    </w:p>
    <w:p w:rsidR="00BC5086" w:rsidRPr="00BC5086" w:rsidRDefault="00BC5086" w:rsidP="00BC5086">
      <w:pPr>
        <w:shd w:val="clear" w:color="auto" w:fill="FFFFFF"/>
        <w:adjustRightInd/>
        <w:snapToGrid/>
        <w:spacing w:after="0" w:line="480" w:lineRule="atLeast"/>
        <w:jc w:val="center"/>
        <w:rPr>
          <w:rFonts w:ascii="微软雅黑" w:hAnsi="微软雅黑" w:cs="宋体" w:hint="eastAsia"/>
          <w:color w:val="212529"/>
          <w:sz w:val="24"/>
          <w:szCs w:val="24"/>
        </w:rPr>
      </w:pPr>
      <w:r w:rsidRPr="00BC5086">
        <w:rPr>
          <w:rFonts w:ascii="方正小标宋_GBK" w:eastAsia="方正小标宋_GBK" w:hAnsi="微软雅黑" w:cs="宋体" w:hint="eastAsia"/>
          <w:color w:val="212529"/>
          <w:sz w:val="44"/>
          <w:szCs w:val="44"/>
        </w:rPr>
        <w:br/>
      </w:r>
    </w:p>
    <w:tbl>
      <w:tblPr>
        <w:tblW w:w="0" w:type="auto"/>
        <w:tblBorders>
          <w:top w:val="outset" w:sz="6" w:space="0" w:color="333333"/>
          <w:left w:val="outset" w:sz="6" w:space="0" w:color="333333"/>
          <w:bottom w:val="outset" w:sz="6" w:space="0" w:color="333333"/>
          <w:right w:val="outset" w:sz="6" w:space="0" w:color="333333"/>
        </w:tblBorders>
        <w:shd w:val="clear" w:color="auto" w:fill="FFFFFF"/>
        <w:tblCellMar>
          <w:left w:w="0" w:type="dxa"/>
          <w:right w:w="0" w:type="dxa"/>
        </w:tblCellMar>
        <w:tblLook w:val="04A0"/>
      </w:tblPr>
      <w:tblGrid>
        <w:gridCol w:w="680"/>
        <w:gridCol w:w="1553"/>
        <w:gridCol w:w="1786"/>
        <w:gridCol w:w="3283"/>
        <w:gridCol w:w="1214"/>
      </w:tblGrid>
      <w:tr w:rsidR="00BC5086" w:rsidRPr="00BC5086" w:rsidTr="00BC5086">
        <w:trPr>
          <w:trHeight w:val="810"/>
        </w:trPr>
        <w:tc>
          <w:tcPr>
            <w:tcW w:w="85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序号</w:t>
            </w:r>
          </w:p>
        </w:tc>
        <w:tc>
          <w:tcPr>
            <w:tcW w:w="265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处罚事项</w:t>
            </w:r>
          </w:p>
        </w:tc>
        <w:tc>
          <w:tcPr>
            <w:tcW w:w="292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减轻处罚的情形</w:t>
            </w:r>
          </w:p>
        </w:tc>
        <w:tc>
          <w:tcPr>
            <w:tcW w:w="582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减轻处罚的</w:t>
            </w:r>
          </w:p>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依据</w:t>
            </w:r>
          </w:p>
        </w:tc>
        <w:tc>
          <w:tcPr>
            <w:tcW w:w="192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C5086" w:rsidRPr="00BC5086" w:rsidRDefault="00BC5086" w:rsidP="00BC5086">
            <w:pPr>
              <w:adjustRightInd/>
              <w:snapToGrid/>
              <w:spacing w:after="0" w:afterAutospacing="1" w:line="480" w:lineRule="atLeast"/>
              <w:jc w:val="center"/>
              <w:rPr>
                <w:rFonts w:ascii="Segoe UI" w:eastAsia="宋体" w:hAnsi="Segoe UI" w:cs="Segoe UI"/>
                <w:color w:val="212529"/>
                <w:sz w:val="27"/>
                <w:szCs w:val="27"/>
              </w:rPr>
            </w:pPr>
            <w:r w:rsidRPr="00BC5086">
              <w:rPr>
                <w:rFonts w:ascii="黑体" w:eastAsia="黑体" w:hAnsi="黑体" w:cs="Segoe UI" w:hint="eastAsia"/>
                <w:color w:val="212529"/>
                <w:sz w:val="32"/>
                <w:szCs w:val="32"/>
              </w:rPr>
              <w:t>配套监管措施</w:t>
            </w:r>
          </w:p>
        </w:tc>
      </w:tr>
      <w:tr w:rsidR="00BC5086" w:rsidRPr="00BC5086" w:rsidTr="00BC5086">
        <w:trPr>
          <w:trHeight w:val="2115"/>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1</w:t>
            </w:r>
          </w:p>
        </w:tc>
        <w:tc>
          <w:tcPr>
            <w:tcW w:w="26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对娱乐场所未按《娱乐场所管理条例》规定悬挂警示标志的行政处罚</w:t>
            </w:r>
          </w:p>
        </w:tc>
        <w:tc>
          <w:tcPr>
            <w:tcW w:w="292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8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处罚依据：《娱乐场所管理条例》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第五十一条：娱乐场所未按照本条例规定悬挂警示标志、未成年人禁入或者限入标志的，由县级人民政府文化主管部门、县级公安部门依据法定职权责令改正，给予警告。</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减轻处罚依据：《中华人民共和国行政处罚法》第三十二条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 </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2115"/>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2</w:t>
            </w:r>
          </w:p>
        </w:tc>
        <w:tc>
          <w:tcPr>
            <w:tcW w:w="26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对娱乐场所未在显著位置悬挂娱乐经营许可证的行政处罚</w:t>
            </w:r>
          </w:p>
        </w:tc>
        <w:tc>
          <w:tcPr>
            <w:tcW w:w="292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8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处罚依据：《娱乐场所管理办法》</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第三十三条：娱乐场所违反本办法第二十四条规定的，由县级以上人民政府文化主管部门责令改正，予以警告。</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第二十四条：娱乐场所应当在显著位置悬挂娱乐经营许可证、未成年人禁入或者限入标志，标志应当注明“12318”文化市场举报电话。</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减轻处罚依据：《中华人民共和国行政处罚法》第三十二条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 </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r w:rsidR="00BC5086" w:rsidRPr="00BC5086" w:rsidTr="00BC5086">
        <w:trPr>
          <w:trHeight w:val="705"/>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3</w:t>
            </w:r>
          </w:p>
        </w:tc>
        <w:tc>
          <w:tcPr>
            <w:tcW w:w="26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对文艺表演团体变更名称、住所、法定代表人或者主要</w:t>
            </w:r>
            <w:r w:rsidRPr="00BC5086">
              <w:rPr>
                <w:rFonts w:ascii="宋体" w:eastAsia="宋体" w:hAnsi="宋体" w:cs="Segoe UI" w:hint="eastAsia"/>
                <w:color w:val="212529"/>
                <w:sz w:val="20"/>
                <w:szCs w:val="20"/>
              </w:rPr>
              <w:lastRenderedPageBreak/>
              <w:t>负责人未向原发证机关申请换发营业性演出许可证的行政处罚</w:t>
            </w:r>
          </w:p>
        </w:tc>
        <w:tc>
          <w:tcPr>
            <w:tcW w:w="292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（一）主动消除违法行为危害后果的；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w:t>
            </w:r>
            <w:r w:rsidRPr="00BC5086">
              <w:rPr>
                <w:rFonts w:ascii="宋体" w:eastAsia="宋体" w:hAnsi="宋体" w:cs="Segoe UI" w:hint="eastAsia"/>
                <w:color w:val="212529"/>
                <w:sz w:val="20"/>
                <w:szCs w:val="20"/>
              </w:rPr>
              <w:lastRenderedPageBreak/>
              <w:t>违法行为的；（三）主动供述行政机关尚未掌握的违法行为的；（四）法律、法规、规章规定其他应当从轻行政处罚的。</w:t>
            </w:r>
          </w:p>
        </w:tc>
        <w:tc>
          <w:tcPr>
            <w:tcW w:w="58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处罚依据：《营业性演出管理条例》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第五十条第一款：违反本条例第八条第一款规定，变更名称、住所、法定代表人或者主要负责人</w:t>
            </w:r>
            <w:r w:rsidRPr="00BC5086">
              <w:rPr>
                <w:rFonts w:ascii="宋体" w:eastAsia="宋体" w:hAnsi="宋体" w:cs="Segoe UI" w:hint="eastAsia"/>
                <w:color w:val="212529"/>
                <w:sz w:val="20"/>
                <w:szCs w:val="20"/>
              </w:rPr>
              <w:lastRenderedPageBreak/>
              <w:t>未向原发证机关申请换发营业性演出许可证的，由县级人民政府文化主管部门责令改正，给予警告，并处1万元以上3万元以下的罚款。 第八条第一款：文艺表演团体变更名称、住所、法定代表人或者主要负责人、营业性演出经营项目，应当向原发证机关申请换发营业性演出许可证，并依法到工商行政管理部门办理变更登记。</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减轻处罚依据：《中华人民共和国行政处罚法》第三十二条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2115"/>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4</w:t>
            </w:r>
          </w:p>
        </w:tc>
        <w:tc>
          <w:tcPr>
            <w:tcW w:w="26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对组织艺术考级活动未按规定将考级简章、考级时间、考级地点、考生数量、考场安排、考官名单等情况备案等行为的行政处罚</w:t>
            </w:r>
          </w:p>
        </w:tc>
        <w:tc>
          <w:tcPr>
            <w:tcW w:w="292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8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处罚依据：《社会艺术水平考级管理办法》</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五条：艺术考级机构有下列行为之一的，由县级以上文化行政部门或者文化市场综合执法机构予以警告，责令改正并处10000元以下罚款：（一）组织艺术考级活动前未向社会发布考级简章或考级简章内容不符合规定的；（二）未按规定将承办单位的基本情况和合作协议备案的；（三）组织艺术考级活动未按规定将考级简章、考级时间、考级地点、考生数量、考场安排、考官名单等情况备案的；（四）艺术考级活动结束后未按规定报送考级结果的；（五）艺术考级机构主要负责人、办公地点有变动未按规定向审批机关备案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减轻处罚依据：《中华人民共和国行政处罚法》第三十二条　当事人有下列情形之一，应当从轻或者减</w:t>
            </w:r>
            <w:r w:rsidRPr="00BC5086">
              <w:rPr>
                <w:rFonts w:ascii="宋体" w:eastAsia="宋体" w:hAnsi="宋体" w:cs="Segoe UI" w:hint="eastAsia"/>
                <w:color w:val="212529"/>
                <w:sz w:val="20"/>
                <w:szCs w:val="20"/>
              </w:rPr>
              <w:lastRenderedPageBreak/>
              <w:t>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2115"/>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5</w:t>
            </w:r>
          </w:p>
        </w:tc>
        <w:tc>
          <w:tcPr>
            <w:tcW w:w="26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组织艺术考级活动未按规定将考级简章、考级时间、考级地点、考生数量、考场安排、考官名单等情况备案</w:t>
            </w:r>
          </w:p>
        </w:tc>
        <w:tc>
          <w:tcPr>
            <w:tcW w:w="292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（二）当事人有证据足以证明没有主观过错。</w:t>
            </w:r>
          </w:p>
        </w:tc>
        <w:tc>
          <w:tcPr>
            <w:tcW w:w="58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处罚依据：《社会艺术水平考级管理办法》</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五条：艺术考级机构有下列行为之一的，由县级以上文化行政部门或者文化市场综合执法机构予以警告，责令改正并处10000元以下罚款：（三）组织艺术考级活动未按规定将考级简章、考级时间、考级地点、考生数量、考场安排、考官名单等情况备案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r w:rsidR="00BC5086" w:rsidRPr="00BC5086" w:rsidTr="00BC5086">
        <w:trPr>
          <w:trHeight w:val="2115"/>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6</w:t>
            </w:r>
          </w:p>
        </w:tc>
        <w:tc>
          <w:tcPr>
            <w:tcW w:w="26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艺术考级活动结束后未按规定报送考级结果</w:t>
            </w:r>
          </w:p>
        </w:tc>
        <w:tc>
          <w:tcPr>
            <w:tcW w:w="292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（二）当事人有证据足以证明没有主观过错。</w:t>
            </w:r>
          </w:p>
        </w:tc>
        <w:tc>
          <w:tcPr>
            <w:tcW w:w="58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处罚依据：《社会艺术水平考级管理办法》</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第二十五条：艺术考级机构有下列行为之一的，由县级以上文化行政部门或者文化市场综合执法机构予以警告，责令改正并处10000元以下罚款：（四）艺术考级活动结束后未按规定报送考级结果的。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r w:rsidR="00BC5086" w:rsidRPr="00BC5086" w:rsidTr="00BC5086">
        <w:trPr>
          <w:trHeight w:val="2115"/>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7</w:t>
            </w:r>
          </w:p>
        </w:tc>
        <w:tc>
          <w:tcPr>
            <w:tcW w:w="26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艺术考级机构主要负责人、办公地点有变动未按规定向审批机关备案</w:t>
            </w:r>
          </w:p>
        </w:tc>
        <w:tc>
          <w:tcPr>
            <w:tcW w:w="292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（一）违法行为轻微并及时改正，没有造成危害后果；</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（二）当事人有证据足以证明没有主观过错。</w:t>
            </w:r>
          </w:p>
        </w:tc>
        <w:tc>
          <w:tcPr>
            <w:tcW w:w="58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处罚依据：《社会艺术水平考级管理办法》</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二十五条：艺术考级机构有下列行为之一的，由县级以上文化行政部门或者文化市场综合执法机构予以警告，责令改正并处10000元以下罚款：（五）艺术考级机构主要负责人、办公地点有变动未按规定向审批机关备案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不予处罚依据：《中华人民共和国行政处罚法》第三十三条　违法行为轻微并及时改正，没有造成危害后果的，不予行政处罚。初次违法且危害后果轻微并及时改正的，可以不予行政处罚。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《优化营商环境条例》第五十九条</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w:t>
            </w:r>
            <w:r w:rsidRPr="00BC5086">
              <w:rPr>
                <w:rFonts w:ascii="宋体" w:eastAsia="宋体" w:hAnsi="宋体" w:cs="Segoe UI" w:hint="eastAsia"/>
                <w:color w:val="212529"/>
                <w:sz w:val="20"/>
                <w:szCs w:val="20"/>
              </w:rPr>
              <w:lastRenderedPageBreak/>
              <w:t>制；确需实施行政强制的，应当尽可能减少对市场主体正常生产经营活动的影响。</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说服教育、行政告诫、行政回访</w:t>
            </w:r>
          </w:p>
        </w:tc>
      </w:tr>
      <w:tr w:rsidR="00BC5086" w:rsidRPr="00BC5086" w:rsidTr="00BC5086">
        <w:trPr>
          <w:trHeight w:val="2115"/>
        </w:trPr>
        <w:tc>
          <w:tcPr>
            <w:tcW w:w="8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lastRenderedPageBreak/>
              <w:t>8</w:t>
            </w:r>
          </w:p>
        </w:tc>
        <w:tc>
          <w:tcPr>
            <w:tcW w:w="265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对违反《营业性演出管理条例》第七条第二款、第八条第二款、第九条第二款规定，未办理备案手续的行政处罚</w:t>
            </w:r>
          </w:p>
        </w:tc>
        <w:tc>
          <w:tcPr>
            <w:tcW w:w="2925"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（一）主动减轻违法行为危害后果的；</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（二）受他人诱骗实施违法行为的；（三）主动供述行政机关尚未掌握的违法行为的；（四）法律、法规、规章规定其他应当从轻行政处罚的。</w:t>
            </w:r>
          </w:p>
        </w:tc>
        <w:tc>
          <w:tcPr>
            <w:tcW w:w="58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处罚依据：《营业性演出管理条例》</w:t>
            </w:r>
            <w:r w:rsidRPr="00BC5086">
              <w:rPr>
                <w:rFonts w:ascii="宋体" w:eastAsia="宋体" w:hAnsi="宋体" w:cs="Segoe UI" w:hint="eastAsia"/>
                <w:color w:val="212529"/>
                <w:sz w:val="20"/>
                <w:szCs w:val="20"/>
              </w:rPr>
              <w:t> </w:t>
            </w:r>
            <w:r w:rsidRPr="00BC5086">
              <w:rPr>
                <w:rFonts w:ascii="宋体" w:eastAsia="宋体" w:hAnsi="宋体" w:cs="Segoe UI" w:hint="eastAsia"/>
                <w:color w:val="212529"/>
                <w:sz w:val="20"/>
                <w:szCs w:val="20"/>
              </w:rPr>
              <w:t>第五十条第二款：违反本条例第七条第二款、第八条第二款、第九条第二款规定，未办理备案手续的，由县级人民政府文化主管部门责令改正，给予警告，并处5000元以上1万元以下的罚款。 第七条第二款：演出场所经营单位应当自领取营业执照之日起20日内向所在地县级人民政府文化主管部门备案。 第八条第二款：演出场所经营单位变更名称、住所、法定代表人或者主要负责人，应当依法到工商行政管理部门办理变更登记，并向原备案机关重新备案。 第九条第二款：个体演员、个体演出经纪人应当自领取营业执照之日起20日内向所在地县级人民政府文化主管部门备案。</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从轻处罚依据：《中华人民共和国行政处罚法》第三十二条　当事人有下列情形之一，应当从轻或者减轻行政处罚：</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（一）主动消除或者减轻违法行为危害后果的；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（二）受他人胁迫或者诱骗实施违法行为的；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（三）主动供述行政机关尚未掌握的违法行为的；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（四）配合行政机关查处违法行为有立功表现的；</w:t>
            </w:r>
          </w:p>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（五）法律、法规、规章规定其他应当从轻或者减轻行政处罚的。</w:t>
            </w:r>
          </w:p>
        </w:tc>
        <w:tc>
          <w:tcPr>
            <w:tcW w:w="192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C5086" w:rsidRPr="00BC5086" w:rsidRDefault="00BC5086" w:rsidP="00BC5086">
            <w:pPr>
              <w:adjustRightInd/>
              <w:snapToGrid/>
              <w:spacing w:after="0" w:afterAutospacing="1"/>
              <w:jc w:val="both"/>
              <w:textAlignment w:val="center"/>
              <w:rPr>
                <w:rFonts w:ascii="Segoe UI" w:eastAsia="宋体" w:hAnsi="Segoe UI" w:cs="Segoe UI"/>
                <w:color w:val="212529"/>
                <w:sz w:val="27"/>
                <w:szCs w:val="27"/>
              </w:rPr>
            </w:pPr>
            <w:r w:rsidRPr="00BC5086">
              <w:rPr>
                <w:rFonts w:ascii="宋体" w:eastAsia="宋体" w:hAnsi="宋体" w:cs="Segoe UI" w:hint="eastAsia"/>
                <w:color w:val="212529"/>
                <w:sz w:val="20"/>
                <w:szCs w:val="20"/>
              </w:rPr>
              <w:t>说服教育、行政告诫、行政回访</w:t>
            </w:r>
          </w:p>
        </w:tc>
      </w:tr>
    </w:tbl>
    <w:p w:rsidR="00BC5086" w:rsidRPr="00BC5086" w:rsidRDefault="00BC5086" w:rsidP="00BC5086">
      <w:pPr>
        <w:shd w:val="clear" w:color="auto" w:fill="FFFFFF"/>
        <w:adjustRightInd/>
        <w:snapToGrid/>
        <w:spacing w:after="0"/>
        <w:jc w:val="both"/>
        <w:textAlignment w:val="center"/>
        <w:rPr>
          <w:rFonts w:ascii="微软雅黑" w:hAnsi="微软雅黑" w:cs="宋体" w:hint="eastAsia"/>
          <w:color w:val="212529"/>
          <w:sz w:val="24"/>
          <w:szCs w:val="24"/>
        </w:rPr>
      </w:pPr>
      <w:r w:rsidRPr="00BC5086">
        <w:rPr>
          <w:rFonts w:ascii="宋体" w:eastAsia="宋体" w:hAnsi="宋体" w:cs="宋体" w:hint="eastAsia"/>
          <w:color w:val="212529"/>
          <w:sz w:val="20"/>
          <w:szCs w:val="20"/>
        </w:rPr>
        <w:t>说明：配套监管措施主要是包容观察、预警提示、容缺执法、说服教育、劝导示范、行政建议、行政指导、行政约谈、行政告诫、行政回访等方式。</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422" w:rsidRDefault="00F54422" w:rsidP="00BC5086">
      <w:pPr>
        <w:spacing w:after="0"/>
      </w:pPr>
      <w:r>
        <w:separator/>
      </w:r>
    </w:p>
  </w:endnote>
  <w:endnote w:type="continuationSeparator" w:id="0">
    <w:p w:rsidR="00F54422" w:rsidRDefault="00F54422" w:rsidP="00BC508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422" w:rsidRDefault="00F54422" w:rsidP="00BC5086">
      <w:pPr>
        <w:spacing w:after="0"/>
      </w:pPr>
      <w:r>
        <w:separator/>
      </w:r>
    </w:p>
  </w:footnote>
  <w:footnote w:type="continuationSeparator" w:id="0">
    <w:p w:rsidR="00F54422" w:rsidRDefault="00F54422" w:rsidP="00BC5086">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323B43"/>
    <w:rsid w:val="003D37D8"/>
    <w:rsid w:val="00426133"/>
    <w:rsid w:val="004358AB"/>
    <w:rsid w:val="008B7726"/>
    <w:rsid w:val="00A11107"/>
    <w:rsid w:val="00BC5086"/>
    <w:rsid w:val="00D31D50"/>
    <w:rsid w:val="00F544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C5086"/>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BC5086"/>
    <w:rPr>
      <w:rFonts w:ascii="Tahoma" w:hAnsi="Tahoma"/>
      <w:sz w:val="18"/>
      <w:szCs w:val="18"/>
    </w:rPr>
  </w:style>
  <w:style w:type="paragraph" w:styleId="a4">
    <w:name w:val="footer"/>
    <w:basedOn w:val="a"/>
    <w:link w:val="Char0"/>
    <w:uiPriority w:val="99"/>
    <w:semiHidden/>
    <w:unhideWhenUsed/>
    <w:rsid w:val="00BC5086"/>
    <w:pPr>
      <w:tabs>
        <w:tab w:val="center" w:pos="4153"/>
        <w:tab w:val="right" w:pos="8306"/>
      </w:tabs>
    </w:pPr>
    <w:rPr>
      <w:sz w:val="18"/>
      <w:szCs w:val="18"/>
    </w:rPr>
  </w:style>
  <w:style w:type="character" w:customStyle="1" w:styleId="Char0">
    <w:name w:val="页脚 Char"/>
    <w:basedOn w:val="a0"/>
    <w:link w:val="a4"/>
    <w:uiPriority w:val="99"/>
    <w:semiHidden/>
    <w:rsid w:val="00BC5086"/>
    <w:rPr>
      <w:rFonts w:ascii="Tahoma" w:hAnsi="Tahoma"/>
      <w:sz w:val="18"/>
      <w:szCs w:val="18"/>
    </w:rPr>
  </w:style>
  <w:style w:type="paragraph" w:styleId="a5">
    <w:name w:val="Normal (Web)"/>
    <w:basedOn w:val="a"/>
    <w:uiPriority w:val="99"/>
    <w:unhideWhenUsed/>
    <w:rsid w:val="00BC5086"/>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208699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37</Pages>
  <Words>4265</Words>
  <Characters>24314</Characters>
  <Application>Microsoft Office Word</Application>
  <DocSecurity>0</DocSecurity>
  <Lines>202</Lines>
  <Paragraphs>57</Paragraphs>
  <ScaleCrop>false</ScaleCrop>
  <Company/>
  <LinksUpToDate>false</LinksUpToDate>
  <CharactersWithSpaces>28522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2008-09-11T17:20:00Z</dcterms:created>
  <dcterms:modified xsi:type="dcterms:W3CDTF">2023-11-06T03:05:00Z</dcterms:modified>
</cp:coreProperties>
</file>