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E0F" w:rsidRPr="00C33E0F" w:rsidRDefault="00C33E0F" w:rsidP="00C33E0F">
      <w:pPr>
        <w:shd w:val="clear" w:color="auto" w:fill="FFFFFF"/>
        <w:adjustRightInd/>
        <w:snapToGrid/>
        <w:spacing w:after="0" w:line="560" w:lineRule="atLeast"/>
        <w:jc w:val="center"/>
        <w:rPr>
          <w:rFonts w:ascii="Calibri" w:eastAsia="宋体" w:hAnsi="Calibri" w:cs="Calibri"/>
          <w:color w:val="000000"/>
          <w:sz w:val="21"/>
          <w:szCs w:val="21"/>
        </w:rPr>
      </w:pPr>
      <w:r>
        <w:rPr>
          <w:rFonts w:ascii="方正小标宋简体" w:eastAsia="方正小标宋简体" w:hAnsi="方正小标宋简体" w:cs="Calibri" w:hint="eastAsia"/>
          <w:color w:val="333333"/>
          <w:sz w:val="36"/>
          <w:szCs w:val="36"/>
          <w:bdr w:val="none" w:sz="0" w:space="0" w:color="auto" w:frame="1"/>
          <w:shd w:val="clear" w:color="auto" w:fill="FFFFFF"/>
        </w:rPr>
        <w:t>广水市</w:t>
      </w:r>
      <w:r w:rsidRPr="00C33E0F">
        <w:rPr>
          <w:rFonts w:ascii="方正小标宋简体" w:eastAsia="方正小标宋简体" w:hAnsi="方正小标宋简体" w:cs="Calibri" w:hint="eastAsia"/>
          <w:color w:val="333333"/>
          <w:sz w:val="36"/>
          <w:szCs w:val="36"/>
          <w:bdr w:val="none" w:sz="0" w:space="0" w:color="auto" w:frame="1"/>
          <w:shd w:val="clear" w:color="auto" w:fill="FFFFFF"/>
        </w:rPr>
        <w:t>退役军人事务局行政执法“两轻一免”清单</w:t>
      </w:r>
    </w:p>
    <w:p w:rsidR="00C33E0F" w:rsidRPr="00C33E0F" w:rsidRDefault="00C33E0F" w:rsidP="00C33E0F">
      <w:pPr>
        <w:shd w:val="clear" w:color="auto" w:fill="FFFFFF"/>
        <w:adjustRightInd/>
        <w:snapToGrid/>
        <w:spacing w:after="0" w:line="560" w:lineRule="atLeast"/>
        <w:jc w:val="both"/>
        <w:rPr>
          <w:rFonts w:ascii="Calibri" w:eastAsia="宋体" w:hAnsi="Calibri" w:cs="Calibri"/>
          <w:color w:val="000000"/>
          <w:sz w:val="21"/>
          <w:szCs w:val="21"/>
        </w:rPr>
      </w:pPr>
      <w:r w:rsidRPr="00C33E0F">
        <w:rPr>
          <w:rFonts w:ascii="Calibri" w:eastAsia="宋体" w:hAnsi="Calibri" w:cs="Calibri"/>
          <w:color w:val="000000"/>
          <w:sz w:val="21"/>
          <w:szCs w:val="21"/>
        </w:rPr>
        <w:t> </w:t>
      </w:r>
    </w:p>
    <w:p w:rsidR="00C33E0F" w:rsidRPr="00C33E0F" w:rsidRDefault="00C33E0F" w:rsidP="00C33E0F">
      <w:pPr>
        <w:shd w:val="clear" w:color="auto" w:fill="FFFFFF"/>
        <w:adjustRightInd/>
        <w:snapToGrid/>
        <w:spacing w:after="0" w:line="560" w:lineRule="atLeast"/>
        <w:jc w:val="both"/>
        <w:rPr>
          <w:rFonts w:ascii="Calibri" w:eastAsia="宋体" w:hAnsi="Calibri" w:cs="Calibri"/>
          <w:color w:val="000000"/>
          <w:sz w:val="21"/>
          <w:szCs w:val="21"/>
        </w:rPr>
      </w:pPr>
      <w:r w:rsidRPr="00C33E0F">
        <w:rPr>
          <w:rFonts w:ascii="黑体" w:eastAsia="黑体" w:hAnsi="黑体" w:cs="Calibri" w:hint="eastAsia"/>
          <w:color w:val="333333"/>
          <w:sz w:val="28"/>
          <w:szCs w:val="28"/>
          <w:bdr w:val="none" w:sz="0" w:space="0" w:color="auto" w:frame="1"/>
          <w:shd w:val="clear" w:color="auto" w:fill="FFFFFF"/>
        </w:rPr>
        <w:t>一、免予处罚事项清单</w:t>
      </w:r>
    </w:p>
    <w:tbl>
      <w:tblPr>
        <w:tblW w:w="9044" w:type="dxa"/>
        <w:tblCellMar>
          <w:left w:w="0" w:type="dxa"/>
          <w:right w:w="0" w:type="dxa"/>
        </w:tblCellMar>
        <w:tblLook w:val="04A0"/>
      </w:tblPr>
      <w:tblGrid>
        <w:gridCol w:w="544"/>
        <w:gridCol w:w="1261"/>
        <w:gridCol w:w="2246"/>
        <w:gridCol w:w="2279"/>
        <w:gridCol w:w="1794"/>
        <w:gridCol w:w="920"/>
      </w:tblGrid>
      <w:tr w:rsidR="00C33E0F" w:rsidRPr="00C33E0F" w:rsidTr="00C33E0F">
        <w:trPr>
          <w:trHeight w:val="907"/>
        </w:trPr>
        <w:tc>
          <w:tcPr>
            <w:tcW w:w="54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序号</w:t>
            </w:r>
          </w:p>
        </w:tc>
        <w:tc>
          <w:tcPr>
            <w:tcW w:w="1261"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行政处罚</w:t>
            </w:r>
          </w:p>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事项</w:t>
            </w:r>
          </w:p>
        </w:tc>
        <w:tc>
          <w:tcPr>
            <w:tcW w:w="224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设定法律依据</w:t>
            </w:r>
          </w:p>
        </w:tc>
        <w:tc>
          <w:tcPr>
            <w:tcW w:w="2279"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适用情形</w:t>
            </w:r>
          </w:p>
        </w:tc>
        <w:tc>
          <w:tcPr>
            <w:tcW w:w="179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不予处罚法律</w:t>
            </w:r>
          </w:p>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依据</w:t>
            </w:r>
          </w:p>
        </w:tc>
        <w:tc>
          <w:tcPr>
            <w:tcW w:w="92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备注</w:t>
            </w:r>
          </w:p>
        </w:tc>
      </w:tr>
      <w:tr w:rsidR="00C33E0F" w:rsidRPr="00C33E0F" w:rsidTr="00C33E0F">
        <w:trPr>
          <w:trHeight w:val="5446"/>
        </w:trPr>
        <w:tc>
          <w:tcPr>
            <w:tcW w:w="544"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sz w:val="18"/>
                <w:szCs w:val="18"/>
                <w:bdr w:val="none" w:sz="0" w:space="0" w:color="auto" w:frame="1"/>
              </w:rPr>
              <w:t>1</w:t>
            </w:r>
          </w:p>
        </w:tc>
        <w:tc>
          <w:tcPr>
            <w:tcW w:w="1261"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对违反政策安置退役士兵的处罚</w:t>
            </w:r>
          </w:p>
        </w:tc>
        <w:tc>
          <w:tcPr>
            <w:tcW w:w="22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shd w:val="clear" w:color="auto" w:fill="FFFFFF"/>
              </w:rPr>
              <w:t>《兵役法》、</w:t>
            </w:r>
            <w:r w:rsidRPr="00C33E0F">
              <w:rPr>
                <w:rFonts w:ascii="方正小标宋简体" w:eastAsia="方正小标宋简体" w:hAnsi="方正小标宋简体" w:cs="Calibri" w:hint="eastAsia"/>
                <w:color w:val="333333"/>
                <w:sz w:val="18"/>
                <w:szCs w:val="18"/>
                <w:bdr w:val="none" w:sz="0" w:space="0" w:color="auto" w:frame="1"/>
              </w:rPr>
              <w:t>《退役军人保障法》、《退役士兵安置条例》、《湖北省退役士兵安置办法》</w:t>
            </w:r>
          </w:p>
        </w:tc>
        <w:tc>
          <w:tcPr>
            <w:tcW w:w="227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both"/>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1.拒绝或无故拖延执行人民政府下达的安排退役士兵工作任务，经责令限期改正，在限期内改正</w:t>
            </w:r>
            <w:r w:rsidRPr="00C33E0F">
              <w:rPr>
                <w:rFonts w:ascii="方正小标宋简体" w:eastAsia="方正小标宋简体" w:hAnsi="方正小标宋简体" w:cs="Calibri" w:hint="eastAsia"/>
                <w:color w:val="333333"/>
                <w:sz w:val="18"/>
                <w:szCs w:val="18"/>
                <w:bdr w:val="none" w:sz="0" w:space="0" w:color="auto" w:frame="1"/>
                <w:shd w:val="clear" w:color="auto" w:fill="FFFFFF"/>
              </w:rPr>
              <w:t>的。</w:t>
            </w:r>
          </w:p>
          <w:p w:rsidR="00C33E0F" w:rsidRPr="00C33E0F" w:rsidRDefault="00C33E0F" w:rsidP="00C33E0F">
            <w:pPr>
              <w:adjustRightInd/>
              <w:snapToGrid/>
              <w:spacing w:after="0" w:line="400" w:lineRule="atLeast"/>
              <w:jc w:val="both"/>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2.未依法与退役士兵签订劳动合同、聘用合同，经责令限期改正，在限期内改正的。</w:t>
            </w:r>
          </w:p>
          <w:p w:rsidR="00C33E0F" w:rsidRPr="00C33E0F" w:rsidRDefault="00C33E0F" w:rsidP="00C33E0F">
            <w:pPr>
              <w:adjustRightInd/>
              <w:snapToGrid/>
              <w:spacing w:after="0" w:line="400" w:lineRule="atLeast"/>
              <w:jc w:val="both"/>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3.接收安置退役士兵的单位与残疾退役士兵解除劳动关系或者人事关系，经责令限期改正，在限期内改正的。</w:t>
            </w:r>
          </w:p>
        </w:tc>
        <w:tc>
          <w:tcPr>
            <w:tcW w:w="179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《行政处罚法》</w:t>
            </w:r>
          </w:p>
        </w:tc>
        <w:tc>
          <w:tcPr>
            <w:tcW w:w="92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378" w:lineRule="atLeast"/>
              <w:jc w:val="center"/>
              <w:rPr>
                <w:rFonts w:ascii="Calibri" w:eastAsia="宋体" w:hAnsi="Calibri" w:cs="Calibri"/>
                <w:sz w:val="21"/>
                <w:szCs w:val="21"/>
              </w:rPr>
            </w:pPr>
            <w:r w:rsidRPr="00C33E0F">
              <w:rPr>
                <w:rFonts w:ascii="Calibri" w:eastAsia="宋体" w:hAnsi="Calibri" w:cs="Calibri"/>
                <w:sz w:val="21"/>
                <w:szCs w:val="21"/>
              </w:rPr>
              <w:t> </w:t>
            </w:r>
          </w:p>
        </w:tc>
      </w:tr>
    </w:tbl>
    <w:p w:rsidR="00C33E0F" w:rsidRPr="00C33E0F" w:rsidRDefault="00C33E0F" w:rsidP="00C33E0F">
      <w:pPr>
        <w:shd w:val="clear" w:color="auto" w:fill="FFFFFF"/>
        <w:adjustRightInd/>
        <w:snapToGrid/>
        <w:spacing w:after="0" w:line="560" w:lineRule="atLeast"/>
        <w:jc w:val="both"/>
        <w:rPr>
          <w:rFonts w:ascii="Calibri" w:eastAsia="宋体" w:hAnsi="Calibri" w:cs="Calibri"/>
          <w:color w:val="000000"/>
          <w:sz w:val="21"/>
          <w:szCs w:val="21"/>
        </w:rPr>
      </w:pPr>
      <w:r w:rsidRPr="00C33E0F">
        <w:rPr>
          <w:rFonts w:ascii="Calibri" w:eastAsia="宋体" w:hAnsi="Calibri" w:cs="Calibri"/>
          <w:color w:val="000000"/>
          <w:sz w:val="21"/>
          <w:szCs w:val="21"/>
        </w:rPr>
        <w:t> </w:t>
      </w:r>
    </w:p>
    <w:p w:rsidR="00C33E0F" w:rsidRPr="00C33E0F" w:rsidRDefault="00C33E0F" w:rsidP="00C33E0F">
      <w:pPr>
        <w:shd w:val="clear" w:color="auto" w:fill="FFFFFF"/>
        <w:adjustRightInd/>
        <w:snapToGrid/>
        <w:spacing w:after="0" w:line="560" w:lineRule="atLeast"/>
        <w:jc w:val="both"/>
        <w:rPr>
          <w:rFonts w:ascii="Calibri" w:eastAsia="宋体" w:hAnsi="Calibri" w:cs="Calibri"/>
          <w:color w:val="000000"/>
          <w:sz w:val="21"/>
          <w:szCs w:val="21"/>
        </w:rPr>
      </w:pPr>
      <w:r w:rsidRPr="00C33E0F">
        <w:rPr>
          <w:rFonts w:ascii="黑体" w:eastAsia="黑体" w:hAnsi="黑体" w:cs="Calibri" w:hint="eastAsia"/>
          <w:color w:val="333333"/>
          <w:sz w:val="28"/>
          <w:szCs w:val="28"/>
          <w:bdr w:val="none" w:sz="0" w:space="0" w:color="auto" w:frame="1"/>
          <w:shd w:val="clear" w:color="auto" w:fill="FFFFFF"/>
        </w:rPr>
        <w:t>二、从轻处罚事项清单</w:t>
      </w:r>
    </w:p>
    <w:tbl>
      <w:tblPr>
        <w:tblW w:w="9060" w:type="dxa"/>
        <w:jc w:val="center"/>
        <w:tblCellMar>
          <w:left w:w="0" w:type="dxa"/>
          <w:right w:w="0" w:type="dxa"/>
        </w:tblCellMar>
        <w:tblLook w:val="04A0"/>
      </w:tblPr>
      <w:tblGrid>
        <w:gridCol w:w="600"/>
        <w:gridCol w:w="1224"/>
        <w:gridCol w:w="1213"/>
        <w:gridCol w:w="1460"/>
        <w:gridCol w:w="1392"/>
        <w:gridCol w:w="3171"/>
      </w:tblGrid>
      <w:tr w:rsidR="00C33E0F" w:rsidRPr="00C33E0F" w:rsidTr="00C33E0F">
        <w:trPr>
          <w:trHeight w:val="1105"/>
          <w:jc w:val="center"/>
        </w:trPr>
        <w:tc>
          <w:tcPr>
            <w:tcW w:w="600"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序号</w:t>
            </w:r>
          </w:p>
        </w:tc>
        <w:tc>
          <w:tcPr>
            <w:tcW w:w="1224"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行政处罚事项</w:t>
            </w:r>
          </w:p>
        </w:tc>
        <w:tc>
          <w:tcPr>
            <w:tcW w:w="1213"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设定法律</w:t>
            </w:r>
          </w:p>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依据</w:t>
            </w:r>
          </w:p>
        </w:tc>
        <w:tc>
          <w:tcPr>
            <w:tcW w:w="146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适用情形</w:t>
            </w:r>
          </w:p>
        </w:tc>
        <w:tc>
          <w:tcPr>
            <w:tcW w:w="1392"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从轻处罚法律依据</w:t>
            </w:r>
          </w:p>
        </w:tc>
        <w:tc>
          <w:tcPr>
            <w:tcW w:w="3171"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备注</w:t>
            </w:r>
          </w:p>
        </w:tc>
      </w:tr>
      <w:tr w:rsidR="00C33E0F" w:rsidRPr="00C33E0F" w:rsidTr="00C33E0F">
        <w:trPr>
          <w:trHeight w:val="1085"/>
          <w:jc w:val="center"/>
        </w:trPr>
        <w:tc>
          <w:tcPr>
            <w:tcW w:w="60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378" w:lineRule="atLeast"/>
              <w:jc w:val="center"/>
              <w:rPr>
                <w:rFonts w:ascii="Calibri" w:eastAsia="宋体" w:hAnsi="Calibri" w:cs="Calibri"/>
                <w:sz w:val="21"/>
                <w:szCs w:val="21"/>
              </w:rPr>
            </w:pPr>
            <w:r w:rsidRPr="00C33E0F">
              <w:rPr>
                <w:rFonts w:ascii="Calibri" w:eastAsia="宋体" w:hAnsi="Calibri" w:cs="Calibri"/>
                <w:sz w:val="21"/>
                <w:szCs w:val="21"/>
              </w:rPr>
              <w:t> </w:t>
            </w:r>
          </w:p>
        </w:tc>
        <w:tc>
          <w:tcPr>
            <w:tcW w:w="122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无</w:t>
            </w:r>
          </w:p>
        </w:tc>
        <w:tc>
          <w:tcPr>
            <w:tcW w:w="1213"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378" w:lineRule="atLeast"/>
              <w:jc w:val="center"/>
              <w:rPr>
                <w:rFonts w:ascii="Calibri" w:eastAsia="宋体" w:hAnsi="Calibri" w:cs="Calibri"/>
                <w:sz w:val="21"/>
                <w:szCs w:val="21"/>
              </w:rPr>
            </w:pPr>
            <w:r w:rsidRPr="00C33E0F">
              <w:rPr>
                <w:rFonts w:ascii="Calibri" w:eastAsia="宋体" w:hAnsi="Calibri" w:cs="Calibri"/>
                <w:sz w:val="21"/>
                <w:szCs w:val="21"/>
              </w:rPr>
              <w:t> </w:t>
            </w:r>
          </w:p>
        </w:tc>
        <w:tc>
          <w:tcPr>
            <w:tcW w:w="146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378" w:lineRule="atLeast"/>
              <w:jc w:val="center"/>
              <w:rPr>
                <w:rFonts w:ascii="Calibri" w:eastAsia="宋体" w:hAnsi="Calibri" w:cs="Calibri"/>
                <w:sz w:val="21"/>
                <w:szCs w:val="21"/>
              </w:rPr>
            </w:pPr>
            <w:r w:rsidRPr="00C33E0F">
              <w:rPr>
                <w:rFonts w:ascii="Calibri" w:eastAsia="宋体" w:hAnsi="Calibri" w:cs="Calibri"/>
                <w:sz w:val="21"/>
                <w:szCs w:val="21"/>
              </w:rPr>
              <w:t> </w:t>
            </w:r>
          </w:p>
        </w:tc>
        <w:tc>
          <w:tcPr>
            <w:tcW w:w="1392"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378" w:lineRule="atLeast"/>
              <w:jc w:val="center"/>
              <w:rPr>
                <w:rFonts w:ascii="Calibri" w:eastAsia="宋体" w:hAnsi="Calibri" w:cs="Calibri"/>
                <w:sz w:val="21"/>
                <w:szCs w:val="21"/>
              </w:rPr>
            </w:pPr>
            <w:r w:rsidRPr="00C33E0F">
              <w:rPr>
                <w:rFonts w:ascii="Calibri" w:eastAsia="宋体" w:hAnsi="Calibri" w:cs="Calibri"/>
                <w:sz w:val="21"/>
                <w:szCs w:val="21"/>
              </w:rPr>
              <w:t> </w:t>
            </w:r>
          </w:p>
        </w:tc>
        <w:tc>
          <w:tcPr>
            <w:tcW w:w="3171"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黄州区退役军人事务局</w:t>
            </w:r>
          </w:p>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无可从轻的行政处罚类型</w:t>
            </w:r>
          </w:p>
        </w:tc>
      </w:tr>
    </w:tbl>
    <w:p w:rsidR="00C33E0F" w:rsidRPr="00C33E0F" w:rsidRDefault="00C33E0F" w:rsidP="00C33E0F">
      <w:pPr>
        <w:shd w:val="clear" w:color="auto" w:fill="FFFFFF"/>
        <w:adjustRightInd/>
        <w:snapToGrid/>
        <w:spacing w:after="0" w:line="560" w:lineRule="atLeast"/>
        <w:jc w:val="both"/>
        <w:rPr>
          <w:rFonts w:ascii="Calibri" w:eastAsia="宋体" w:hAnsi="Calibri" w:cs="Calibri"/>
          <w:color w:val="000000"/>
          <w:sz w:val="21"/>
          <w:szCs w:val="21"/>
        </w:rPr>
      </w:pPr>
      <w:r w:rsidRPr="00C33E0F">
        <w:rPr>
          <w:rFonts w:ascii="黑体" w:eastAsia="黑体" w:hAnsi="黑体" w:cs="Calibri" w:hint="eastAsia"/>
          <w:color w:val="333333"/>
          <w:sz w:val="28"/>
          <w:szCs w:val="28"/>
          <w:bdr w:val="none" w:sz="0" w:space="0" w:color="auto" w:frame="1"/>
          <w:shd w:val="clear" w:color="auto" w:fill="FFFFFF"/>
        </w:rPr>
        <w:t>三、减轻处罚事项清单</w:t>
      </w:r>
    </w:p>
    <w:tbl>
      <w:tblPr>
        <w:tblW w:w="9064" w:type="dxa"/>
        <w:tblCellMar>
          <w:left w:w="0" w:type="dxa"/>
          <w:right w:w="0" w:type="dxa"/>
        </w:tblCellMar>
        <w:tblLook w:val="04A0"/>
      </w:tblPr>
      <w:tblGrid>
        <w:gridCol w:w="621"/>
        <w:gridCol w:w="928"/>
        <w:gridCol w:w="1535"/>
        <w:gridCol w:w="4350"/>
        <w:gridCol w:w="900"/>
        <w:gridCol w:w="730"/>
      </w:tblGrid>
      <w:tr w:rsidR="00C33E0F" w:rsidRPr="00C33E0F" w:rsidTr="00C33E0F">
        <w:trPr>
          <w:trHeight w:val="90"/>
        </w:trPr>
        <w:tc>
          <w:tcPr>
            <w:tcW w:w="62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序号</w:t>
            </w:r>
          </w:p>
        </w:tc>
        <w:tc>
          <w:tcPr>
            <w:tcW w:w="928"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行政处罚事项</w:t>
            </w:r>
          </w:p>
        </w:tc>
        <w:tc>
          <w:tcPr>
            <w:tcW w:w="1535"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设定法律依据</w:t>
            </w:r>
          </w:p>
        </w:tc>
        <w:tc>
          <w:tcPr>
            <w:tcW w:w="435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适用情形</w:t>
            </w:r>
          </w:p>
        </w:tc>
        <w:tc>
          <w:tcPr>
            <w:tcW w:w="90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减轻处罚法律依据</w:t>
            </w:r>
          </w:p>
        </w:tc>
        <w:tc>
          <w:tcPr>
            <w:tcW w:w="730"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9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备注</w:t>
            </w:r>
          </w:p>
        </w:tc>
      </w:tr>
      <w:tr w:rsidR="00C33E0F" w:rsidRPr="00C33E0F" w:rsidTr="00C33E0F">
        <w:trPr>
          <w:trHeight w:val="4403"/>
        </w:trPr>
        <w:tc>
          <w:tcPr>
            <w:tcW w:w="621"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lastRenderedPageBreak/>
              <w:t>1</w:t>
            </w:r>
          </w:p>
        </w:tc>
        <w:tc>
          <w:tcPr>
            <w:tcW w:w="928"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对违反政策安置退役士兵的处罚</w:t>
            </w:r>
          </w:p>
        </w:tc>
        <w:tc>
          <w:tcPr>
            <w:tcW w:w="153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shd w:val="clear" w:color="auto" w:fill="FFFFFF"/>
              </w:rPr>
              <w:t>《兵役法》、</w:t>
            </w:r>
            <w:r w:rsidRPr="00C33E0F">
              <w:rPr>
                <w:rFonts w:ascii="方正小标宋简体" w:eastAsia="方正小标宋简体" w:hAnsi="方正小标宋简体" w:cs="Calibri" w:hint="eastAsia"/>
                <w:color w:val="333333"/>
                <w:sz w:val="18"/>
                <w:szCs w:val="18"/>
                <w:bdr w:val="none" w:sz="0" w:space="0" w:color="auto" w:frame="1"/>
              </w:rPr>
              <w:t>《退役军人保障法》、《退役士兵安置条例》、《湖北省退役士兵安置规定》</w:t>
            </w:r>
          </w:p>
        </w:tc>
        <w:tc>
          <w:tcPr>
            <w:tcW w:w="435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1.拒绝或无故拖延执行人民政府下达的安排退役士兵工作任务，经责令限期改正，限期届满后，30日内改正的。</w:t>
            </w:r>
          </w:p>
          <w:p w:rsidR="00C33E0F" w:rsidRPr="00C33E0F" w:rsidRDefault="00C33E0F" w:rsidP="00C33E0F">
            <w:pPr>
              <w:adjustRightInd/>
              <w:snapToGrid/>
              <w:spacing w:after="0" w:line="400" w:lineRule="atLeast"/>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2.未依法与退役士兵签订劳动合同、聘用合同，经责令限期改正，限期届满后，30日内改正的。</w:t>
            </w:r>
          </w:p>
          <w:p w:rsidR="00C33E0F" w:rsidRPr="00C33E0F" w:rsidRDefault="00C33E0F" w:rsidP="00C33E0F">
            <w:pPr>
              <w:adjustRightInd/>
              <w:snapToGrid/>
              <w:spacing w:after="0" w:line="400" w:lineRule="atLeast"/>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3.安置退役士兵的单位与残疾退役士兵解除劳动关系或者人事关系，经责令限期改正，限期届满后，30日内改正的。</w:t>
            </w:r>
          </w:p>
        </w:tc>
        <w:tc>
          <w:tcPr>
            <w:tcW w:w="90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方正小标宋简体" w:eastAsia="方正小标宋简体" w:hAnsi="方正小标宋简体" w:cs="Calibri" w:hint="eastAsia"/>
                <w:color w:val="333333"/>
                <w:sz w:val="18"/>
                <w:szCs w:val="18"/>
                <w:bdr w:val="none" w:sz="0" w:space="0" w:color="auto" w:frame="1"/>
              </w:rPr>
              <w:t>《行政处罚法》</w:t>
            </w:r>
          </w:p>
        </w:tc>
        <w:tc>
          <w:tcPr>
            <w:tcW w:w="730" w:type="dxa"/>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rsidR="00C33E0F" w:rsidRPr="00C33E0F" w:rsidRDefault="00C33E0F" w:rsidP="00C33E0F">
            <w:pPr>
              <w:adjustRightInd/>
              <w:snapToGrid/>
              <w:spacing w:after="0" w:line="400" w:lineRule="atLeast"/>
              <w:jc w:val="center"/>
              <w:rPr>
                <w:rFonts w:ascii="Calibri" w:eastAsia="宋体" w:hAnsi="Calibri" w:cs="Calibri"/>
                <w:sz w:val="21"/>
                <w:szCs w:val="21"/>
              </w:rPr>
            </w:pPr>
            <w:r w:rsidRPr="00C33E0F">
              <w:rPr>
                <w:rFonts w:ascii="宋体" w:eastAsia="宋体" w:hAnsi="宋体" w:cs="宋体" w:hint="eastAsia"/>
                <w:color w:val="333333"/>
                <w:sz w:val="18"/>
                <w:szCs w:val="18"/>
                <w:bdr w:val="none" w:sz="0" w:space="0" w:color="auto" w:frame="1"/>
              </w:rPr>
              <w:t> </w:t>
            </w: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6DB" w:rsidRDefault="00E106DB" w:rsidP="00C33E0F">
      <w:pPr>
        <w:spacing w:after="0"/>
      </w:pPr>
      <w:r>
        <w:separator/>
      </w:r>
    </w:p>
  </w:endnote>
  <w:endnote w:type="continuationSeparator" w:id="0">
    <w:p w:rsidR="00E106DB" w:rsidRDefault="00E106DB" w:rsidP="00C33E0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6DB" w:rsidRDefault="00E106DB" w:rsidP="00C33E0F">
      <w:pPr>
        <w:spacing w:after="0"/>
      </w:pPr>
      <w:r>
        <w:separator/>
      </w:r>
    </w:p>
  </w:footnote>
  <w:footnote w:type="continuationSeparator" w:id="0">
    <w:p w:rsidR="00E106DB" w:rsidRDefault="00E106DB" w:rsidP="00C33E0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43DFC"/>
    <w:rsid w:val="00323B43"/>
    <w:rsid w:val="003D37D8"/>
    <w:rsid w:val="00426133"/>
    <w:rsid w:val="004358AB"/>
    <w:rsid w:val="008B7726"/>
    <w:rsid w:val="00C33E0F"/>
    <w:rsid w:val="00D31D50"/>
    <w:rsid w:val="00E106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3E0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C33E0F"/>
    <w:rPr>
      <w:rFonts w:ascii="Tahoma" w:hAnsi="Tahoma"/>
      <w:sz w:val="18"/>
      <w:szCs w:val="18"/>
    </w:rPr>
  </w:style>
  <w:style w:type="paragraph" w:styleId="a4">
    <w:name w:val="footer"/>
    <w:basedOn w:val="a"/>
    <w:link w:val="Char0"/>
    <w:uiPriority w:val="99"/>
    <w:semiHidden/>
    <w:unhideWhenUsed/>
    <w:rsid w:val="00C33E0F"/>
    <w:pPr>
      <w:tabs>
        <w:tab w:val="center" w:pos="4153"/>
        <w:tab w:val="right" w:pos="8306"/>
      </w:tabs>
    </w:pPr>
    <w:rPr>
      <w:sz w:val="18"/>
      <w:szCs w:val="18"/>
    </w:rPr>
  </w:style>
  <w:style w:type="character" w:customStyle="1" w:styleId="Char0">
    <w:name w:val="页脚 Char"/>
    <w:basedOn w:val="a0"/>
    <w:link w:val="a4"/>
    <w:uiPriority w:val="99"/>
    <w:semiHidden/>
    <w:rsid w:val="00C33E0F"/>
    <w:rPr>
      <w:rFonts w:ascii="Tahoma" w:hAnsi="Tahoma"/>
      <w:sz w:val="18"/>
      <w:szCs w:val="18"/>
    </w:rPr>
  </w:style>
  <w:style w:type="paragraph" w:styleId="a5">
    <w:name w:val="Normal (Web)"/>
    <w:basedOn w:val="a"/>
    <w:uiPriority w:val="99"/>
    <w:unhideWhenUsed/>
    <w:rsid w:val="00C33E0F"/>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348063518">
      <w:bodyDiv w:val="1"/>
      <w:marLeft w:val="0"/>
      <w:marRight w:val="0"/>
      <w:marTop w:val="0"/>
      <w:marBottom w:val="0"/>
      <w:divBdr>
        <w:top w:val="none" w:sz="0" w:space="0" w:color="auto"/>
        <w:left w:val="none" w:sz="0" w:space="0" w:color="auto"/>
        <w:bottom w:val="none" w:sz="0" w:space="0" w:color="auto"/>
        <w:right w:val="none" w:sz="0" w:space="0" w:color="auto"/>
      </w:divBdr>
      <w:divsChild>
        <w:div w:id="676922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2023-11-04T02:57:00Z</dcterms:modified>
</cp:coreProperties>
</file>