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112" w:line="283" w:lineRule="exact"/>
        <w:ind w:left="24"/>
        <w:rPr>
          <w:rFonts w:hint="eastAsia" w:ascii="CESI黑体-GB2312" w:hAnsi="CESI黑体-GB2312" w:eastAsia="CESI黑体-GB2312" w:cs="CESI黑体-GB2312"/>
          <w:sz w:val="32"/>
          <w:szCs w:val="32"/>
        </w:rPr>
      </w:pPr>
      <w:r>
        <w:rPr>
          <w:rFonts w:hint="eastAsia" w:ascii="CESI黑体-GB2312" w:hAnsi="CESI黑体-GB2312" w:eastAsia="CESI黑体-GB2312" w:cs="CESI黑体-GB2312"/>
          <w:spacing w:val="16"/>
          <w:position w:val="-1"/>
          <w:sz w:val="32"/>
          <w:szCs w:val="32"/>
        </w:rPr>
        <w:t>附件1</w:t>
      </w:r>
    </w:p>
    <w:p>
      <w:pPr>
        <w:keepNext w:val="0"/>
        <w:keepLines w:val="0"/>
        <w:pageBreakBefore w:val="0"/>
        <w:widowControl w:val="0"/>
        <w:tabs>
          <w:tab w:val="left" w:pos="2792"/>
        </w:tabs>
        <w:kinsoku/>
        <w:wordWrap/>
        <w:overflowPunct/>
        <w:topLinePunct/>
        <w:autoSpaceDE/>
        <w:autoSpaceDN/>
        <w:bidi w:val="0"/>
        <w:adjustRightInd/>
        <w:snapToGrid/>
        <w:spacing w:line="660" w:lineRule="exact"/>
        <w:ind w:left="0" w:firstLine="440" w:firstLineChars="100"/>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u w:val="single" w:color="auto"/>
        </w:rPr>
        <w:tab/>
      </w:r>
      <w:r>
        <w:rPr>
          <w:rFonts w:hint="eastAsia" w:ascii="方正小标宋简体" w:hAnsi="方正小标宋简体" w:eastAsia="方正小标宋简体" w:cs="方正小标宋简体"/>
          <w:spacing w:val="2"/>
          <w:sz w:val="44"/>
          <w:szCs w:val="44"/>
        </w:rPr>
        <w:t>（企业名称）裁员工作方案</w:t>
      </w:r>
    </w:p>
    <w:p>
      <w:pPr>
        <w:pStyle w:val="2"/>
        <w:keepNext w:val="0"/>
        <w:keepLines w:val="0"/>
        <w:pageBreakBefore w:val="0"/>
        <w:widowControl w:val="0"/>
        <w:kinsoku/>
        <w:wordWrap/>
        <w:overflowPunct/>
        <w:autoSpaceDE/>
        <w:autoSpaceDN/>
        <w:bidi w:val="0"/>
        <w:adjustRightInd/>
        <w:snapToGrid/>
        <w:spacing w:before="104" w:line="660" w:lineRule="exact"/>
        <w:jc w:val="center"/>
        <w:textAlignment w:val="auto"/>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pacing w:val="35"/>
          <w:position w:val="-1"/>
          <w:sz w:val="32"/>
          <w:szCs w:val="32"/>
          <w:lang w:eastAsia="zh-CN"/>
        </w:rPr>
        <w:t>（</w:t>
      </w:r>
      <w:r>
        <w:rPr>
          <w:rFonts w:hint="eastAsia" w:ascii="CESI楷体-GB2312" w:hAnsi="CESI楷体-GB2312" w:eastAsia="CESI楷体-GB2312" w:cs="CESI楷体-GB2312"/>
          <w:b/>
          <w:bCs/>
          <w:spacing w:val="35"/>
          <w:position w:val="-1"/>
          <w:sz w:val="32"/>
          <w:szCs w:val="32"/>
        </w:rPr>
        <w:t>参考样本</w:t>
      </w:r>
      <w:r>
        <w:rPr>
          <w:rFonts w:hint="eastAsia" w:ascii="CESI楷体-GB2312" w:hAnsi="CESI楷体-GB2312" w:eastAsia="CESI楷体-GB2312" w:cs="CESI楷体-GB2312"/>
          <w:b/>
          <w:bCs/>
          <w:spacing w:val="35"/>
          <w:position w:val="-1"/>
          <w:sz w:val="32"/>
          <w:szCs w:val="32"/>
          <w:lang w:eastAsia="zh-CN"/>
        </w:rPr>
        <w:t>）</w:t>
      </w:r>
    </w:p>
    <w:p>
      <w:pPr>
        <w:spacing w:line="259" w:lineRule="auto"/>
        <w:rPr>
          <w:rFonts w:ascii="Arial"/>
          <w:sz w:val="21"/>
        </w:rPr>
      </w:pPr>
    </w:p>
    <w:p>
      <w:pPr>
        <w:spacing w:line="260" w:lineRule="auto"/>
        <w:rPr>
          <w:rFonts w:ascii="Arial"/>
          <w:sz w:val="21"/>
        </w:rPr>
      </w:pPr>
    </w:p>
    <w:p>
      <w:pPr>
        <w:spacing w:line="260" w:lineRule="auto"/>
        <w:rPr>
          <w:rFonts w:ascii="Arial"/>
          <w:sz w:val="21"/>
        </w:rPr>
      </w:pPr>
    </w:p>
    <w:p>
      <w:pPr>
        <w:pStyle w:val="2"/>
        <w:keepNext w:val="0"/>
        <w:keepLines w:val="0"/>
        <w:pageBreakBefore w:val="0"/>
        <w:widowControl w:val="0"/>
        <w:kinsoku/>
        <w:wordWrap/>
        <w:overflowPunct/>
        <w:topLinePunct/>
        <w:autoSpaceDE/>
        <w:autoSpaceDN/>
        <w:bidi w:val="0"/>
        <w:adjustRightInd/>
        <w:snapToGrid/>
        <w:spacing w:before="116" w:line="579" w:lineRule="exact"/>
        <w:ind w:firstLine="640" w:firstLineChars="200"/>
        <w:jc w:val="both"/>
        <w:textAlignment w:val="auto"/>
        <w:rPr>
          <w:rFonts w:hint="eastAsia" w:ascii="CESI黑体-GB2312" w:hAnsi="CESI黑体-GB2312" w:eastAsia="CESI黑体-GB2312" w:cs="CESI黑体-GB2312"/>
          <w:kern w:val="0"/>
          <w:sz w:val="32"/>
          <w:szCs w:val="32"/>
          <w:lang w:val="en-US" w:eastAsia="zh-CN" w:bidi="ar"/>
        </w:rPr>
      </w:pPr>
      <w:r>
        <w:rPr>
          <w:rFonts w:hint="eastAsia" w:ascii="CESI黑体-GB2312" w:hAnsi="CESI黑体-GB2312" w:eastAsia="CESI黑体-GB2312" w:cs="CESI黑体-GB2312"/>
          <w:kern w:val="0"/>
          <w:sz w:val="32"/>
          <w:szCs w:val="32"/>
          <w:lang w:val="en-US" w:eastAsia="zh-CN" w:bidi="ar"/>
        </w:rPr>
        <w:t>一、裁员背景</w:t>
      </w:r>
    </w:p>
    <w:p>
      <w:pPr>
        <w:pStyle w:val="2"/>
        <w:keepNext w:val="0"/>
        <w:keepLines w:val="0"/>
        <w:pageBreakBefore w:val="0"/>
        <w:widowControl w:val="0"/>
        <w:numPr>
          <w:ilvl w:val="0"/>
          <w:numId w:val="1"/>
        </w:numPr>
        <w:kinsoku/>
        <w:wordWrap/>
        <w:overflowPunct/>
        <w:topLinePunct/>
        <w:autoSpaceDE/>
        <w:autoSpaceDN/>
        <w:bidi w:val="0"/>
        <w:adjustRightInd/>
        <w:snapToGrid/>
        <w:spacing w:before="116" w:line="579" w:lineRule="exact"/>
        <w:ind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企业近期经营状况、未来经营状况和财务状况预测；</w:t>
      </w:r>
    </w:p>
    <w:p>
      <w:pPr>
        <w:pStyle w:val="2"/>
        <w:keepNext w:val="0"/>
        <w:keepLines w:val="0"/>
        <w:pageBreakBefore w:val="0"/>
        <w:widowControl w:val="0"/>
        <w:numPr>
          <w:ilvl w:val="0"/>
          <w:numId w:val="0"/>
        </w:numPr>
        <w:kinsoku/>
        <w:wordWrap/>
        <w:overflowPunct/>
        <w:topLinePunct/>
        <w:autoSpaceDE/>
        <w:autoSpaceDN/>
        <w:bidi w:val="0"/>
        <w:adjustRightInd/>
        <w:snapToGrid/>
        <w:spacing w:before="116" w:line="579" w:lineRule="exact"/>
        <w:ind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2.企业已采取的不裁员少裁员措施；</w:t>
      </w:r>
    </w:p>
    <w:p>
      <w:pPr>
        <w:pStyle w:val="2"/>
        <w:keepNext w:val="0"/>
        <w:keepLines w:val="0"/>
        <w:pageBreakBefore w:val="0"/>
        <w:widowControl w:val="0"/>
        <w:numPr>
          <w:ilvl w:val="0"/>
          <w:numId w:val="0"/>
        </w:numPr>
        <w:kinsoku/>
        <w:wordWrap/>
        <w:overflowPunct/>
        <w:topLinePunct/>
        <w:autoSpaceDE/>
        <w:autoSpaceDN/>
        <w:bidi w:val="0"/>
        <w:adjustRightInd/>
        <w:snapToGrid/>
        <w:spacing w:before="116" w:line="579" w:lineRule="exact"/>
        <w:ind w:left="638" w:leftChars="304" w:firstLine="0" w:firstLineChars="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3.裁员依据：符合劳动合同法第四十一条规定的裁员情形；4.裁员后企业的人力资源规划考虑及预期经营状况。</w:t>
      </w:r>
    </w:p>
    <w:p>
      <w:pPr>
        <w:pStyle w:val="2"/>
        <w:keepNext w:val="0"/>
        <w:keepLines w:val="0"/>
        <w:pageBreakBefore w:val="0"/>
        <w:widowControl w:val="0"/>
        <w:kinsoku/>
        <w:wordWrap/>
        <w:overflowPunct/>
        <w:topLinePunct/>
        <w:autoSpaceDE/>
        <w:autoSpaceDN/>
        <w:bidi w:val="0"/>
        <w:adjustRightInd/>
        <w:snapToGrid/>
        <w:spacing w:before="116" w:line="579" w:lineRule="exact"/>
        <w:ind w:firstLine="640" w:firstLineChars="200"/>
        <w:jc w:val="both"/>
        <w:textAlignment w:val="auto"/>
        <w:rPr>
          <w:rFonts w:hint="eastAsia" w:ascii="CESI黑体-GB2312" w:hAnsi="CESI黑体-GB2312" w:eastAsia="CESI黑体-GB2312" w:cs="CESI黑体-GB2312"/>
          <w:kern w:val="0"/>
          <w:sz w:val="32"/>
          <w:szCs w:val="32"/>
          <w:lang w:val="en-US" w:eastAsia="zh-CN" w:bidi="ar"/>
        </w:rPr>
      </w:pPr>
      <w:r>
        <w:rPr>
          <w:rFonts w:hint="eastAsia" w:ascii="CESI黑体-GB2312" w:hAnsi="CESI黑体-GB2312" w:eastAsia="CESI黑体-GB2312" w:cs="CESI黑体-GB2312"/>
          <w:kern w:val="0"/>
          <w:sz w:val="32"/>
          <w:szCs w:val="32"/>
          <w:lang w:val="en-US" w:eastAsia="zh-CN" w:bidi="ar"/>
        </w:rPr>
        <w:t>二、裁员工作原则</w:t>
      </w:r>
    </w:p>
    <w:p>
      <w:pPr>
        <w:pStyle w:val="2"/>
        <w:keepNext w:val="0"/>
        <w:keepLines w:val="0"/>
        <w:pageBreakBefore w:val="0"/>
        <w:widowControl w:val="0"/>
        <w:numPr>
          <w:ilvl w:val="0"/>
          <w:numId w:val="2"/>
        </w:numPr>
        <w:kinsoku/>
        <w:wordWrap/>
        <w:overflowPunct/>
        <w:topLinePunct/>
        <w:autoSpaceDE/>
        <w:autoSpaceDN/>
        <w:bidi w:val="0"/>
        <w:adjustRightInd/>
        <w:snapToGrid/>
        <w:spacing w:line="579" w:lineRule="exact"/>
        <w:ind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坚持依法合规裁减人员;</w:t>
      </w:r>
    </w:p>
    <w:p>
      <w:pPr>
        <w:pStyle w:val="2"/>
        <w:keepNext w:val="0"/>
        <w:keepLines w:val="0"/>
        <w:pageBreakBefore w:val="0"/>
        <w:widowControl w:val="0"/>
        <w:numPr>
          <w:ilvl w:val="0"/>
          <w:numId w:val="0"/>
        </w:numPr>
        <w:kinsoku/>
        <w:wordWrap/>
        <w:overflowPunct/>
        <w:topLinePunct/>
        <w:autoSpaceDE/>
        <w:autoSpaceDN/>
        <w:bidi w:val="0"/>
        <w:adjustRightInd/>
        <w:snapToGrid/>
        <w:spacing w:line="579" w:lineRule="exact"/>
        <w:ind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2.依法履行民主程序，充分听取工会和职工意见建议，保证裁员程序和结果公开、公平、公正，争取职工的理解与支持；</w:t>
      </w:r>
    </w:p>
    <w:p>
      <w:pPr>
        <w:pStyle w:val="2"/>
        <w:keepNext w:val="0"/>
        <w:keepLines w:val="0"/>
        <w:pageBreakBefore w:val="0"/>
        <w:widowControl w:val="0"/>
        <w:numPr>
          <w:ilvl w:val="0"/>
          <w:numId w:val="0"/>
        </w:numPr>
        <w:kinsoku/>
        <w:wordWrap/>
        <w:overflowPunct/>
        <w:topLinePunct/>
        <w:autoSpaceDE/>
        <w:autoSpaceDN/>
        <w:bidi w:val="0"/>
        <w:adjustRightInd/>
        <w:snapToGrid/>
        <w:spacing w:line="579" w:lineRule="exact"/>
        <w:ind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3.与当地政府、人力资源社会保障部门、人力资源服务企业、社区等保持良好沟通，配合做好社会保险转移接续、促进职工再就业等相关工作。</w:t>
      </w:r>
    </w:p>
    <w:p>
      <w:pPr>
        <w:pStyle w:val="2"/>
        <w:keepNext w:val="0"/>
        <w:keepLines w:val="0"/>
        <w:pageBreakBefore w:val="0"/>
        <w:widowControl w:val="0"/>
        <w:kinsoku/>
        <w:wordWrap/>
        <w:overflowPunct/>
        <w:topLinePunct/>
        <w:autoSpaceDE/>
        <w:autoSpaceDN/>
        <w:bidi w:val="0"/>
        <w:adjustRightInd/>
        <w:snapToGrid/>
        <w:spacing w:before="116" w:line="579" w:lineRule="exact"/>
        <w:ind w:firstLine="640" w:firstLineChars="200"/>
        <w:jc w:val="both"/>
        <w:textAlignment w:val="auto"/>
        <w:rPr>
          <w:rFonts w:hint="eastAsia" w:ascii="CESI黑体-GB2312" w:hAnsi="CESI黑体-GB2312" w:eastAsia="CESI黑体-GB2312" w:cs="CESI黑体-GB2312"/>
          <w:kern w:val="0"/>
          <w:sz w:val="32"/>
          <w:szCs w:val="32"/>
          <w:lang w:val="en-US" w:eastAsia="zh-CN" w:bidi="ar"/>
        </w:rPr>
      </w:pPr>
      <w:r>
        <w:rPr>
          <w:rFonts w:hint="eastAsia" w:ascii="CESI黑体-GB2312" w:hAnsi="CESI黑体-GB2312" w:eastAsia="CESI黑体-GB2312" w:cs="CESI黑体-GB2312"/>
          <w:kern w:val="0"/>
          <w:sz w:val="32"/>
          <w:szCs w:val="32"/>
          <w:lang w:val="en-US" w:eastAsia="zh-CN" w:bidi="ar"/>
        </w:rPr>
        <w:t>三、成立工作组</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*月*日前，成立裁员工作组，负责裁员方案制定和实施工作。工作组由担任组长，人力资源部门、财务部门等相关部门参加。工作组成员名单听取工会或职工意见的联系人和联系方式</w:t>
      </w:r>
    </w:p>
    <w:p>
      <w:pPr>
        <w:pStyle w:val="2"/>
        <w:keepNext w:val="0"/>
        <w:keepLines w:val="0"/>
        <w:pageBreakBefore w:val="0"/>
        <w:widowControl w:val="0"/>
        <w:kinsoku/>
        <w:wordWrap/>
        <w:overflowPunct/>
        <w:topLinePunct/>
        <w:autoSpaceDE/>
        <w:autoSpaceDN/>
        <w:bidi w:val="0"/>
        <w:adjustRightInd/>
        <w:snapToGrid/>
        <w:spacing w:before="116" w:line="579" w:lineRule="exact"/>
        <w:ind w:firstLine="640" w:firstLineChars="200"/>
        <w:jc w:val="both"/>
        <w:textAlignment w:val="auto"/>
        <w:rPr>
          <w:rFonts w:hint="eastAsia" w:ascii="CESI黑体-GB2312" w:hAnsi="CESI黑体-GB2312" w:eastAsia="CESI黑体-GB2312" w:cs="CESI黑体-GB2312"/>
          <w:kern w:val="0"/>
          <w:sz w:val="32"/>
          <w:szCs w:val="32"/>
          <w:lang w:val="en-US" w:eastAsia="zh-CN" w:bidi="ar"/>
        </w:rPr>
      </w:pPr>
      <w:r>
        <w:rPr>
          <w:rFonts w:hint="eastAsia" w:ascii="CESI黑体-GB2312" w:hAnsi="CESI黑体-GB2312" w:eastAsia="CESI黑体-GB2312" w:cs="CESI黑体-GB2312"/>
          <w:kern w:val="0"/>
          <w:sz w:val="32"/>
          <w:szCs w:val="32"/>
          <w:lang w:val="en-US" w:eastAsia="zh-CN" w:bidi="ar"/>
        </w:rPr>
        <w:t>四、制定裁员草案</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1.*月*日前，了解职工意见和主要诉求，梳理职工基本情况，提出裁员标准，测算裁员成本，并提出资金筹集具体意见。</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2.*月*日前，提出裁员草案，包括裁减人员规模、范围、标准、裁员初步名单、预计裁员成本等，提交企业管理层研究讨论。</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（1）职工基本情况表</w:t>
      </w:r>
    </w:p>
    <w:tbl>
      <w:tblPr>
        <w:tblStyle w:val="6"/>
        <w:tblW w:w="88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6"/>
        <w:gridCol w:w="427"/>
        <w:gridCol w:w="425"/>
        <w:gridCol w:w="425"/>
        <w:gridCol w:w="494"/>
        <w:gridCol w:w="472"/>
        <w:gridCol w:w="489"/>
        <w:gridCol w:w="511"/>
        <w:gridCol w:w="472"/>
        <w:gridCol w:w="415"/>
        <w:gridCol w:w="585"/>
        <w:gridCol w:w="472"/>
        <w:gridCol w:w="698"/>
        <w:gridCol w:w="437"/>
        <w:gridCol w:w="451"/>
        <w:gridCol w:w="161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92" w:hRule="atLeast"/>
        </w:trPr>
        <w:tc>
          <w:tcPr>
            <w:tcW w:w="426" w:type="dxa"/>
            <w:noWrap w:val="0"/>
            <w:textDirection w:val="tbRlV"/>
            <w:vAlign w:val="top"/>
          </w:tcPr>
          <w:p>
            <w:pPr>
              <w:spacing w:before="104" w:line="211" w:lineRule="auto"/>
              <w:ind w:left="683"/>
              <w:rPr>
                <w:rFonts w:ascii="宋体" w:hAnsi="宋体" w:eastAsia="宋体" w:cs="宋体"/>
                <w:sz w:val="21"/>
                <w:szCs w:val="21"/>
              </w:rPr>
            </w:pPr>
            <w:r>
              <w:rPr>
                <w:rFonts w:ascii="宋体" w:hAnsi="宋体" w:eastAsia="宋体" w:cs="宋体"/>
                <w:spacing w:val="-1"/>
                <w:sz w:val="21"/>
                <w:szCs w:val="21"/>
              </w:rPr>
              <w:t>序号</w:t>
            </w:r>
          </w:p>
        </w:tc>
        <w:tc>
          <w:tcPr>
            <w:tcW w:w="427" w:type="dxa"/>
            <w:noWrap w:val="0"/>
            <w:textDirection w:val="tbRlV"/>
            <w:vAlign w:val="top"/>
          </w:tcPr>
          <w:p>
            <w:pPr>
              <w:spacing w:before="106" w:line="209" w:lineRule="auto"/>
              <w:ind w:left="683"/>
              <w:rPr>
                <w:rFonts w:ascii="宋体" w:hAnsi="宋体" w:eastAsia="宋体" w:cs="宋体"/>
                <w:sz w:val="21"/>
                <w:szCs w:val="21"/>
              </w:rPr>
            </w:pPr>
            <w:r>
              <w:rPr>
                <w:rFonts w:ascii="宋体" w:hAnsi="宋体" w:eastAsia="宋体" w:cs="宋体"/>
                <w:spacing w:val="-1"/>
                <w:sz w:val="21"/>
                <w:szCs w:val="21"/>
              </w:rPr>
              <w:t>姓名</w:t>
            </w:r>
          </w:p>
        </w:tc>
        <w:tc>
          <w:tcPr>
            <w:tcW w:w="425" w:type="dxa"/>
            <w:noWrap w:val="0"/>
            <w:textDirection w:val="tbRlV"/>
            <w:vAlign w:val="top"/>
          </w:tcPr>
          <w:p>
            <w:pPr>
              <w:spacing w:before="106" w:line="209" w:lineRule="auto"/>
              <w:ind w:left="683"/>
              <w:rPr>
                <w:rFonts w:ascii="宋体" w:hAnsi="宋体" w:eastAsia="宋体" w:cs="宋体"/>
                <w:sz w:val="21"/>
                <w:szCs w:val="21"/>
              </w:rPr>
            </w:pPr>
            <w:r>
              <w:rPr>
                <w:rFonts w:ascii="宋体" w:hAnsi="宋体" w:eastAsia="宋体" w:cs="宋体"/>
                <w:spacing w:val="-1"/>
                <w:sz w:val="21"/>
                <w:szCs w:val="21"/>
              </w:rPr>
              <w:t>性别</w:t>
            </w:r>
          </w:p>
        </w:tc>
        <w:tc>
          <w:tcPr>
            <w:tcW w:w="425" w:type="dxa"/>
            <w:noWrap w:val="0"/>
            <w:textDirection w:val="tbRlV"/>
            <w:vAlign w:val="top"/>
          </w:tcPr>
          <w:p>
            <w:pPr>
              <w:spacing w:before="104" w:line="211" w:lineRule="auto"/>
              <w:ind w:left="683"/>
              <w:rPr>
                <w:rFonts w:ascii="宋体" w:hAnsi="宋体" w:eastAsia="宋体" w:cs="宋体"/>
                <w:sz w:val="21"/>
                <w:szCs w:val="21"/>
              </w:rPr>
            </w:pPr>
            <w:r>
              <w:rPr>
                <w:rFonts w:ascii="宋体" w:hAnsi="宋体" w:eastAsia="宋体" w:cs="宋体"/>
                <w:spacing w:val="-1"/>
                <w:sz w:val="21"/>
                <w:szCs w:val="21"/>
              </w:rPr>
              <w:t>年龄</w:t>
            </w:r>
          </w:p>
        </w:tc>
        <w:tc>
          <w:tcPr>
            <w:tcW w:w="494" w:type="dxa"/>
            <w:noWrap w:val="0"/>
            <w:textDirection w:val="tbRlV"/>
            <w:vAlign w:val="top"/>
          </w:tcPr>
          <w:p>
            <w:pPr>
              <w:spacing w:before="139" w:line="210" w:lineRule="auto"/>
              <w:ind w:left="368"/>
              <w:rPr>
                <w:rFonts w:ascii="宋体" w:hAnsi="宋体" w:eastAsia="宋体" w:cs="宋体"/>
                <w:sz w:val="21"/>
                <w:szCs w:val="21"/>
              </w:rPr>
            </w:pPr>
            <w:r>
              <w:rPr>
                <w:rFonts w:ascii="宋体" w:hAnsi="宋体" w:eastAsia="宋体" w:cs="宋体"/>
                <w:spacing w:val="-1"/>
                <w:sz w:val="21"/>
                <w:szCs w:val="21"/>
              </w:rPr>
              <w:t>身份证号</w:t>
            </w:r>
          </w:p>
        </w:tc>
        <w:tc>
          <w:tcPr>
            <w:tcW w:w="472" w:type="dxa"/>
            <w:noWrap w:val="0"/>
            <w:textDirection w:val="tbRlV"/>
            <w:vAlign w:val="top"/>
          </w:tcPr>
          <w:p>
            <w:pPr>
              <w:spacing w:before="127" w:line="209" w:lineRule="auto"/>
              <w:ind w:left="368"/>
              <w:rPr>
                <w:rFonts w:ascii="宋体" w:hAnsi="宋体" w:eastAsia="宋体" w:cs="宋体"/>
                <w:sz w:val="21"/>
                <w:szCs w:val="21"/>
              </w:rPr>
            </w:pPr>
            <w:r>
              <w:rPr>
                <w:rFonts w:ascii="宋体" w:hAnsi="宋体" w:eastAsia="宋体" w:cs="宋体"/>
                <w:spacing w:val="-1"/>
                <w:sz w:val="21"/>
                <w:szCs w:val="21"/>
              </w:rPr>
              <w:t>联系方式</w:t>
            </w:r>
          </w:p>
        </w:tc>
        <w:tc>
          <w:tcPr>
            <w:tcW w:w="489" w:type="dxa"/>
            <w:noWrap w:val="0"/>
            <w:textDirection w:val="tbRlV"/>
            <w:vAlign w:val="top"/>
          </w:tcPr>
          <w:p>
            <w:pPr>
              <w:spacing w:before="136" w:line="212" w:lineRule="auto"/>
              <w:ind w:left="368"/>
              <w:rPr>
                <w:rFonts w:ascii="宋体" w:hAnsi="宋体" w:eastAsia="宋体" w:cs="宋体"/>
                <w:sz w:val="21"/>
                <w:szCs w:val="21"/>
              </w:rPr>
            </w:pPr>
            <w:r>
              <w:rPr>
                <w:rFonts w:ascii="宋体" w:hAnsi="宋体" w:eastAsia="宋体" w:cs="宋体"/>
                <w:spacing w:val="-1"/>
                <w:sz w:val="21"/>
                <w:szCs w:val="21"/>
              </w:rPr>
              <w:t>入职时间</w:t>
            </w:r>
          </w:p>
        </w:tc>
        <w:tc>
          <w:tcPr>
            <w:tcW w:w="511" w:type="dxa"/>
            <w:noWrap w:val="0"/>
            <w:textDirection w:val="tbRlV"/>
            <w:vAlign w:val="top"/>
          </w:tcPr>
          <w:p>
            <w:pPr>
              <w:spacing w:before="145" w:line="208" w:lineRule="auto"/>
              <w:ind w:left="683"/>
              <w:rPr>
                <w:rFonts w:ascii="宋体" w:hAnsi="宋体" w:eastAsia="宋体" w:cs="宋体"/>
                <w:sz w:val="21"/>
                <w:szCs w:val="21"/>
              </w:rPr>
            </w:pPr>
            <w:r>
              <w:rPr>
                <w:rFonts w:ascii="宋体" w:hAnsi="宋体" w:eastAsia="宋体" w:cs="宋体"/>
                <w:spacing w:val="-1"/>
                <w:sz w:val="21"/>
                <w:szCs w:val="21"/>
              </w:rPr>
              <w:t>学历</w:t>
            </w:r>
          </w:p>
        </w:tc>
        <w:tc>
          <w:tcPr>
            <w:tcW w:w="472" w:type="dxa"/>
            <w:noWrap w:val="0"/>
            <w:textDirection w:val="tbRlV"/>
            <w:vAlign w:val="top"/>
          </w:tcPr>
          <w:p>
            <w:pPr>
              <w:spacing w:before="126" w:line="210" w:lineRule="auto"/>
              <w:ind w:left="52"/>
              <w:rPr>
                <w:rFonts w:ascii="宋体" w:hAnsi="宋体" w:eastAsia="宋体" w:cs="宋体"/>
                <w:sz w:val="21"/>
                <w:szCs w:val="21"/>
              </w:rPr>
            </w:pPr>
            <w:r>
              <w:rPr>
                <w:rFonts w:ascii="宋体" w:hAnsi="宋体" w:eastAsia="宋体" w:cs="宋体"/>
                <w:sz w:val="21"/>
                <w:szCs w:val="21"/>
              </w:rPr>
              <w:t>职称技术等级</w:t>
            </w:r>
          </w:p>
        </w:tc>
        <w:tc>
          <w:tcPr>
            <w:tcW w:w="415" w:type="dxa"/>
            <w:noWrap w:val="0"/>
            <w:textDirection w:val="tbRlV"/>
            <w:vAlign w:val="top"/>
          </w:tcPr>
          <w:p>
            <w:pPr>
              <w:spacing w:before="96" w:line="211" w:lineRule="auto"/>
              <w:ind w:left="683"/>
              <w:rPr>
                <w:rFonts w:ascii="宋体" w:hAnsi="宋体" w:eastAsia="宋体" w:cs="宋体"/>
                <w:sz w:val="21"/>
                <w:szCs w:val="21"/>
              </w:rPr>
            </w:pPr>
            <w:r>
              <w:rPr>
                <w:rFonts w:ascii="宋体" w:hAnsi="宋体" w:eastAsia="宋体" w:cs="宋体"/>
                <w:spacing w:val="-1"/>
                <w:sz w:val="21"/>
                <w:szCs w:val="21"/>
              </w:rPr>
              <w:t>岗位</w:t>
            </w:r>
          </w:p>
        </w:tc>
        <w:tc>
          <w:tcPr>
            <w:tcW w:w="585" w:type="dxa"/>
            <w:noWrap w:val="0"/>
            <w:vAlign w:val="top"/>
          </w:tcPr>
          <w:p>
            <w:pPr>
              <w:pStyle w:val="7"/>
              <w:spacing w:line="454" w:lineRule="auto"/>
            </w:pPr>
          </w:p>
          <w:p>
            <w:pPr>
              <w:spacing w:before="68" w:line="258" w:lineRule="auto"/>
              <w:ind w:left="87" w:right="77" w:firstLine="9"/>
              <w:jc w:val="both"/>
              <w:rPr>
                <w:rFonts w:ascii="宋体" w:hAnsi="宋体" w:eastAsia="宋体" w:cs="宋体"/>
                <w:sz w:val="21"/>
                <w:szCs w:val="21"/>
              </w:rPr>
            </w:pPr>
            <w:r>
              <w:rPr>
                <w:rFonts w:ascii="宋体" w:hAnsi="宋体" w:eastAsia="宋体" w:cs="宋体"/>
                <w:spacing w:val="-7"/>
                <w:sz w:val="21"/>
                <w:szCs w:val="21"/>
              </w:rPr>
              <w:t>劳动</w:t>
            </w:r>
            <w:r>
              <w:rPr>
                <w:rFonts w:ascii="宋体" w:hAnsi="宋体" w:eastAsia="宋体" w:cs="宋体"/>
                <w:spacing w:val="-3"/>
                <w:sz w:val="21"/>
                <w:szCs w:val="21"/>
              </w:rPr>
              <w:t>合同类型</w:t>
            </w:r>
          </w:p>
        </w:tc>
        <w:tc>
          <w:tcPr>
            <w:tcW w:w="472" w:type="dxa"/>
            <w:noWrap w:val="0"/>
            <w:textDirection w:val="tbRlV"/>
            <w:vAlign w:val="top"/>
          </w:tcPr>
          <w:p>
            <w:pPr>
              <w:spacing w:before="124" w:line="211" w:lineRule="auto"/>
              <w:ind w:left="52"/>
              <w:rPr>
                <w:rFonts w:ascii="宋体" w:hAnsi="宋体" w:eastAsia="宋体" w:cs="宋体"/>
                <w:sz w:val="21"/>
                <w:szCs w:val="21"/>
              </w:rPr>
            </w:pPr>
            <w:r>
              <w:rPr>
                <w:rFonts w:ascii="宋体" w:hAnsi="宋体" w:eastAsia="宋体" w:cs="宋体"/>
                <w:sz w:val="21"/>
                <w:szCs w:val="21"/>
              </w:rPr>
              <w:t>合同终止时间</w:t>
            </w:r>
          </w:p>
        </w:tc>
        <w:tc>
          <w:tcPr>
            <w:tcW w:w="698" w:type="dxa"/>
            <w:noWrap w:val="0"/>
            <w:vAlign w:val="top"/>
          </w:tcPr>
          <w:p>
            <w:pPr>
              <w:pStyle w:val="7"/>
              <w:spacing w:line="298" w:lineRule="auto"/>
            </w:pPr>
          </w:p>
          <w:p>
            <w:pPr>
              <w:spacing w:before="68" w:line="219" w:lineRule="auto"/>
              <w:ind w:left="148"/>
              <w:rPr>
                <w:rFonts w:ascii="宋体" w:hAnsi="宋体" w:eastAsia="宋体" w:cs="宋体"/>
                <w:sz w:val="21"/>
                <w:szCs w:val="21"/>
              </w:rPr>
            </w:pPr>
            <w:r>
              <w:rPr>
                <w:rFonts w:ascii="宋体" w:hAnsi="宋体" w:eastAsia="宋体" w:cs="宋体"/>
                <w:spacing w:val="-4"/>
                <w:sz w:val="21"/>
                <w:szCs w:val="21"/>
              </w:rPr>
              <w:t>本单</w:t>
            </w:r>
          </w:p>
          <w:p>
            <w:pPr>
              <w:spacing w:before="65" w:line="221" w:lineRule="auto"/>
              <w:ind w:left="146"/>
              <w:rPr>
                <w:rFonts w:ascii="宋体" w:hAnsi="宋体" w:eastAsia="宋体" w:cs="宋体"/>
                <w:sz w:val="21"/>
                <w:szCs w:val="21"/>
              </w:rPr>
            </w:pPr>
            <w:r>
              <w:rPr>
                <w:rFonts w:ascii="宋体" w:hAnsi="宋体" w:eastAsia="宋体" w:cs="宋体"/>
                <w:spacing w:val="-3"/>
                <w:sz w:val="21"/>
                <w:szCs w:val="21"/>
              </w:rPr>
              <w:t>位工</w:t>
            </w:r>
          </w:p>
          <w:p>
            <w:pPr>
              <w:spacing w:before="62" w:line="220" w:lineRule="auto"/>
              <w:ind w:left="150"/>
              <w:rPr>
                <w:rFonts w:ascii="宋体" w:hAnsi="宋体" w:eastAsia="宋体" w:cs="宋体"/>
                <w:sz w:val="21"/>
                <w:szCs w:val="21"/>
              </w:rPr>
            </w:pPr>
            <w:r>
              <w:rPr>
                <w:rFonts w:ascii="宋体" w:hAnsi="宋体" w:eastAsia="宋体" w:cs="宋体"/>
                <w:spacing w:val="-5"/>
                <w:sz w:val="21"/>
                <w:szCs w:val="21"/>
              </w:rPr>
              <w:t>作年</w:t>
            </w:r>
          </w:p>
          <w:p>
            <w:pPr>
              <w:spacing w:before="64" w:line="220" w:lineRule="auto"/>
              <w:ind w:left="271"/>
              <w:rPr>
                <w:rFonts w:ascii="宋体" w:hAnsi="宋体" w:eastAsia="宋体" w:cs="宋体"/>
                <w:sz w:val="21"/>
                <w:szCs w:val="21"/>
              </w:rPr>
            </w:pPr>
            <w:r>
              <w:rPr>
                <w:rFonts w:ascii="宋体" w:hAnsi="宋体" w:eastAsia="宋体" w:cs="宋体"/>
                <w:sz w:val="21"/>
                <w:szCs w:val="21"/>
              </w:rPr>
              <w:t>限</w:t>
            </w:r>
          </w:p>
        </w:tc>
        <w:tc>
          <w:tcPr>
            <w:tcW w:w="437" w:type="dxa"/>
            <w:noWrap w:val="0"/>
            <w:textDirection w:val="tbRlV"/>
            <w:vAlign w:val="top"/>
          </w:tcPr>
          <w:p>
            <w:pPr>
              <w:spacing w:before="106" w:line="209" w:lineRule="auto"/>
              <w:ind w:left="368"/>
              <w:rPr>
                <w:rFonts w:ascii="宋体" w:hAnsi="宋体" w:eastAsia="宋体" w:cs="宋体"/>
                <w:sz w:val="21"/>
                <w:szCs w:val="21"/>
              </w:rPr>
            </w:pPr>
            <w:r>
              <w:rPr>
                <w:rFonts w:ascii="宋体" w:hAnsi="宋体" w:eastAsia="宋体" w:cs="宋体"/>
                <w:spacing w:val="-1"/>
                <w:sz w:val="21"/>
                <w:szCs w:val="21"/>
              </w:rPr>
              <w:t>月均工资</w:t>
            </w:r>
          </w:p>
        </w:tc>
        <w:tc>
          <w:tcPr>
            <w:tcW w:w="451" w:type="dxa"/>
            <w:noWrap w:val="0"/>
            <w:textDirection w:val="tbRlV"/>
            <w:vAlign w:val="top"/>
          </w:tcPr>
          <w:p>
            <w:pPr>
              <w:spacing w:before="113" w:line="210" w:lineRule="auto"/>
              <w:ind w:left="368"/>
              <w:rPr>
                <w:rFonts w:ascii="宋体" w:hAnsi="宋体" w:eastAsia="宋体" w:cs="宋体"/>
                <w:sz w:val="21"/>
                <w:szCs w:val="21"/>
              </w:rPr>
            </w:pPr>
            <w:r>
              <w:rPr>
                <w:rFonts w:ascii="宋体" w:hAnsi="宋体" w:eastAsia="宋体" w:cs="宋体"/>
                <w:spacing w:val="-1"/>
                <w:sz w:val="21"/>
                <w:szCs w:val="21"/>
              </w:rPr>
              <w:t>业绩考核</w:t>
            </w:r>
          </w:p>
        </w:tc>
        <w:tc>
          <w:tcPr>
            <w:tcW w:w="1611" w:type="dxa"/>
            <w:noWrap w:val="0"/>
            <w:vAlign w:val="top"/>
          </w:tcPr>
          <w:p>
            <w:pPr>
              <w:pStyle w:val="7"/>
              <w:spacing w:line="453" w:lineRule="auto"/>
            </w:pPr>
          </w:p>
          <w:p>
            <w:pPr>
              <w:spacing w:before="68" w:line="220" w:lineRule="auto"/>
              <w:ind w:left="392"/>
              <w:rPr>
                <w:rFonts w:ascii="宋体" w:hAnsi="宋体" w:eastAsia="宋体" w:cs="宋体"/>
                <w:sz w:val="21"/>
                <w:szCs w:val="21"/>
              </w:rPr>
            </w:pPr>
            <w:r>
              <w:rPr>
                <w:rFonts w:ascii="宋体" w:hAnsi="宋体" w:eastAsia="宋体" w:cs="宋体"/>
                <w:spacing w:val="-2"/>
                <w:sz w:val="21"/>
                <w:szCs w:val="21"/>
              </w:rPr>
              <w:t>其他（伤</w:t>
            </w:r>
          </w:p>
          <w:p>
            <w:pPr>
              <w:spacing w:before="66" w:line="220" w:lineRule="auto"/>
              <w:jc w:val="right"/>
              <w:rPr>
                <w:rFonts w:ascii="宋体" w:hAnsi="宋体" w:eastAsia="宋体" w:cs="宋体"/>
                <w:sz w:val="21"/>
                <w:szCs w:val="21"/>
              </w:rPr>
            </w:pPr>
            <w:r>
              <w:rPr>
                <w:rFonts w:ascii="宋体" w:hAnsi="宋体" w:eastAsia="宋体" w:cs="宋体"/>
                <w:spacing w:val="-18"/>
                <w:sz w:val="21"/>
                <w:szCs w:val="21"/>
              </w:rPr>
              <w:t>病、孕产哺乳期、</w:t>
            </w:r>
          </w:p>
          <w:p>
            <w:pPr>
              <w:spacing w:before="64" w:line="220" w:lineRule="auto"/>
              <w:ind w:left="341"/>
              <w:rPr>
                <w:rFonts w:ascii="宋体" w:hAnsi="宋体" w:eastAsia="宋体" w:cs="宋体"/>
                <w:sz w:val="21"/>
                <w:szCs w:val="21"/>
              </w:rPr>
            </w:pPr>
            <w:r>
              <w:rPr>
                <w:rFonts w:ascii="宋体" w:hAnsi="宋体" w:eastAsia="宋体" w:cs="宋体"/>
                <w:spacing w:val="-2"/>
                <w:sz w:val="21"/>
                <w:szCs w:val="21"/>
              </w:rPr>
              <w:t>家庭困难）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426" w:type="dxa"/>
            <w:noWrap w:val="0"/>
            <w:vAlign w:val="top"/>
          </w:tcPr>
          <w:p>
            <w:pPr>
              <w:spacing w:before="247" w:line="189" w:lineRule="auto"/>
              <w:ind w:left="182"/>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427" w:type="dxa"/>
            <w:noWrap w:val="0"/>
            <w:vAlign w:val="top"/>
          </w:tcPr>
          <w:p>
            <w:pPr>
              <w:pStyle w:val="7"/>
            </w:pPr>
          </w:p>
        </w:tc>
        <w:tc>
          <w:tcPr>
            <w:tcW w:w="425" w:type="dxa"/>
            <w:noWrap w:val="0"/>
            <w:vAlign w:val="top"/>
          </w:tcPr>
          <w:p>
            <w:pPr>
              <w:pStyle w:val="7"/>
            </w:pPr>
          </w:p>
        </w:tc>
        <w:tc>
          <w:tcPr>
            <w:tcW w:w="425" w:type="dxa"/>
            <w:noWrap w:val="0"/>
            <w:vAlign w:val="top"/>
          </w:tcPr>
          <w:p>
            <w:pPr>
              <w:pStyle w:val="7"/>
            </w:pPr>
          </w:p>
        </w:tc>
        <w:tc>
          <w:tcPr>
            <w:tcW w:w="494" w:type="dxa"/>
            <w:noWrap w:val="0"/>
            <w:vAlign w:val="top"/>
          </w:tcPr>
          <w:p>
            <w:pPr>
              <w:pStyle w:val="7"/>
            </w:pPr>
          </w:p>
        </w:tc>
        <w:tc>
          <w:tcPr>
            <w:tcW w:w="472" w:type="dxa"/>
            <w:noWrap w:val="0"/>
            <w:vAlign w:val="top"/>
          </w:tcPr>
          <w:p>
            <w:pPr>
              <w:pStyle w:val="7"/>
            </w:pPr>
          </w:p>
        </w:tc>
        <w:tc>
          <w:tcPr>
            <w:tcW w:w="489" w:type="dxa"/>
            <w:noWrap w:val="0"/>
            <w:vAlign w:val="top"/>
          </w:tcPr>
          <w:p>
            <w:pPr>
              <w:pStyle w:val="7"/>
            </w:pPr>
          </w:p>
        </w:tc>
        <w:tc>
          <w:tcPr>
            <w:tcW w:w="511" w:type="dxa"/>
            <w:noWrap w:val="0"/>
            <w:vAlign w:val="top"/>
          </w:tcPr>
          <w:p>
            <w:pPr>
              <w:pStyle w:val="7"/>
            </w:pPr>
          </w:p>
        </w:tc>
        <w:tc>
          <w:tcPr>
            <w:tcW w:w="472" w:type="dxa"/>
            <w:noWrap w:val="0"/>
            <w:vAlign w:val="top"/>
          </w:tcPr>
          <w:p>
            <w:pPr>
              <w:pStyle w:val="7"/>
            </w:pPr>
          </w:p>
        </w:tc>
        <w:tc>
          <w:tcPr>
            <w:tcW w:w="415" w:type="dxa"/>
            <w:noWrap w:val="0"/>
            <w:vAlign w:val="top"/>
          </w:tcPr>
          <w:p>
            <w:pPr>
              <w:pStyle w:val="7"/>
            </w:pPr>
          </w:p>
        </w:tc>
        <w:tc>
          <w:tcPr>
            <w:tcW w:w="585" w:type="dxa"/>
            <w:noWrap w:val="0"/>
            <w:vAlign w:val="top"/>
          </w:tcPr>
          <w:p>
            <w:pPr>
              <w:pStyle w:val="7"/>
            </w:pPr>
          </w:p>
        </w:tc>
        <w:tc>
          <w:tcPr>
            <w:tcW w:w="472" w:type="dxa"/>
            <w:noWrap w:val="0"/>
            <w:vAlign w:val="top"/>
          </w:tcPr>
          <w:p>
            <w:pPr>
              <w:pStyle w:val="7"/>
            </w:pPr>
          </w:p>
        </w:tc>
        <w:tc>
          <w:tcPr>
            <w:tcW w:w="698" w:type="dxa"/>
            <w:noWrap w:val="0"/>
            <w:vAlign w:val="top"/>
          </w:tcPr>
          <w:p>
            <w:pPr>
              <w:pStyle w:val="7"/>
            </w:pPr>
          </w:p>
        </w:tc>
        <w:tc>
          <w:tcPr>
            <w:tcW w:w="437" w:type="dxa"/>
            <w:noWrap w:val="0"/>
            <w:vAlign w:val="top"/>
          </w:tcPr>
          <w:p>
            <w:pPr>
              <w:pStyle w:val="7"/>
            </w:pPr>
          </w:p>
        </w:tc>
        <w:tc>
          <w:tcPr>
            <w:tcW w:w="451" w:type="dxa"/>
            <w:noWrap w:val="0"/>
            <w:vAlign w:val="top"/>
          </w:tcPr>
          <w:p>
            <w:pPr>
              <w:pStyle w:val="7"/>
            </w:pPr>
          </w:p>
        </w:tc>
        <w:tc>
          <w:tcPr>
            <w:tcW w:w="1611" w:type="dxa"/>
            <w:noWrap w:val="0"/>
            <w:vAlign w:val="top"/>
          </w:tcPr>
          <w:p>
            <w:pPr>
              <w:pStyle w:val="7"/>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426" w:type="dxa"/>
            <w:noWrap w:val="0"/>
            <w:vAlign w:val="top"/>
          </w:tcPr>
          <w:p>
            <w:pPr>
              <w:spacing w:before="220" w:line="189" w:lineRule="auto"/>
              <w:ind w:left="162"/>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tc>
        <w:tc>
          <w:tcPr>
            <w:tcW w:w="427" w:type="dxa"/>
            <w:noWrap w:val="0"/>
            <w:vAlign w:val="top"/>
          </w:tcPr>
          <w:p>
            <w:pPr>
              <w:pStyle w:val="7"/>
            </w:pPr>
          </w:p>
        </w:tc>
        <w:tc>
          <w:tcPr>
            <w:tcW w:w="425" w:type="dxa"/>
            <w:noWrap w:val="0"/>
            <w:vAlign w:val="top"/>
          </w:tcPr>
          <w:p>
            <w:pPr>
              <w:pStyle w:val="7"/>
            </w:pPr>
          </w:p>
        </w:tc>
        <w:tc>
          <w:tcPr>
            <w:tcW w:w="425" w:type="dxa"/>
            <w:noWrap w:val="0"/>
            <w:vAlign w:val="top"/>
          </w:tcPr>
          <w:p>
            <w:pPr>
              <w:pStyle w:val="7"/>
            </w:pPr>
          </w:p>
        </w:tc>
        <w:tc>
          <w:tcPr>
            <w:tcW w:w="494" w:type="dxa"/>
            <w:noWrap w:val="0"/>
            <w:vAlign w:val="top"/>
          </w:tcPr>
          <w:p>
            <w:pPr>
              <w:pStyle w:val="7"/>
            </w:pPr>
          </w:p>
        </w:tc>
        <w:tc>
          <w:tcPr>
            <w:tcW w:w="472" w:type="dxa"/>
            <w:noWrap w:val="0"/>
            <w:vAlign w:val="top"/>
          </w:tcPr>
          <w:p>
            <w:pPr>
              <w:pStyle w:val="7"/>
            </w:pPr>
          </w:p>
        </w:tc>
        <w:tc>
          <w:tcPr>
            <w:tcW w:w="489" w:type="dxa"/>
            <w:noWrap w:val="0"/>
            <w:vAlign w:val="top"/>
          </w:tcPr>
          <w:p>
            <w:pPr>
              <w:pStyle w:val="7"/>
            </w:pPr>
          </w:p>
        </w:tc>
        <w:tc>
          <w:tcPr>
            <w:tcW w:w="511" w:type="dxa"/>
            <w:noWrap w:val="0"/>
            <w:vAlign w:val="top"/>
          </w:tcPr>
          <w:p>
            <w:pPr>
              <w:pStyle w:val="7"/>
            </w:pPr>
          </w:p>
        </w:tc>
        <w:tc>
          <w:tcPr>
            <w:tcW w:w="472" w:type="dxa"/>
            <w:noWrap w:val="0"/>
            <w:vAlign w:val="top"/>
          </w:tcPr>
          <w:p>
            <w:pPr>
              <w:pStyle w:val="7"/>
            </w:pPr>
          </w:p>
        </w:tc>
        <w:tc>
          <w:tcPr>
            <w:tcW w:w="415" w:type="dxa"/>
            <w:noWrap w:val="0"/>
            <w:vAlign w:val="top"/>
          </w:tcPr>
          <w:p>
            <w:pPr>
              <w:pStyle w:val="7"/>
            </w:pPr>
          </w:p>
        </w:tc>
        <w:tc>
          <w:tcPr>
            <w:tcW w:w="585" w:type="dxa"/>
            <w:noWrap w:val="0"/>
            <w:vAlign w:val="top"/>
          </w:tcPr>
          <w:p>
            <w:pPr>
              <w:pStyle w:val="7"/>
            </w:pPr>
          </w:p>
        </w:tc>
        <w:tc>
          <w:tcPr>
            <w:tcW w:w="472" w:type="dxa"/>
            <w:noWrap w:val="0"/>
            <w:vAlign w:val="top"/>
          </w:tcPr>
          <w:p>
            <w:pPr>
              <w:pStyle w:val="7"/>
            </w:pPr>
          </w:p>
        </w:tc>
        <w:tc>
          <w:tcPr>
            <w:tcW w:w="698" w:type="dxa"/>
            <w:noWrap w:val="0"/>
            <w:vAlign w:val="top"/>
          </w:tcPr>
          <w:p>
            <w:pPr>
              <w:pStyle w:val="7"/>
            </w:pPr>
          </w:p>
        </w:tc>
        <w:tc>
          <w:tcPr>
            <w:tcW w:w="437" w:type="dxa"/>
            <w:noWrap w:val="0"/>
            <w:vAlign w:val="top"/>
          </w:tcPr>
          <w:p>
            <w:pPr>
              <w:pStyle w:val="7"/>
            </w:pPr>
          </w:p>
        </w:tc>
        <w:tc>
          <w:tcPr>
            <w:tcW w:w="451" w:type="dxa"/>
            <w:noWrap w:val="0"/>
            <w:vAlign w:val="top"/>
          </w:tcPr>
          <w:p>
            <w:pPr>
              <w:pStyle w:val="7"/>
            </w:pPr>
          </w:p>
        </w:tc>
        <w:tc>
          <w:tcPr>
            <w:tcW w:w="1611" w:type="dxa"/>
            <w:noWrap w:val="0"/>
            <w:vAlign w:val="top"/>
          </w:tcPr>
          <w:p>
            <w:pPr>
              <w:pStyle w:val="7"/>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trPr>
        <w:tc>
          <w:tcPr>
            <w:tcW w:w="426" w:type="dxa"/>
            <w:noWrap w:val="0"/>
            <w:vAlign w:val="top"/>
          </w:tcPr>
          <w:p>
            <w:pPr>
              <w:pStyle w:val="7"/>
            </w:pPr>
          </w:p>
        </w:tc>
        <w:tc>
          <w:tcPr>
            <w:tcW w:w="427" w:type="dxa"/>
            <w:noWrap w:val="0"/>
            <w:vAlign w:val="top"/>
          </w:tcPr>
          <w:p>
            <w:pPr>
              <w:pStyle w:val="7"/>
            </w:pPr>
          </w:p>
        </w:tc>
        <w:tc>
          <w:tcPr>
            <w:tcW w:w="425" w:type="dxa"/>
            <w:noWrap w:val="0"/>
            <w:vAlign w:val="top"/>
          </w:tcPr>
          <w:p>
            <w:pPr>
              <w:pStyle w:val="7"/>
            </w:pPr>
          </w:p>
        </w:tc>
        <w:tc>
          <w:tcPr>
            <w:tcW w:w="425" w:type="dxa"/>
            <w:noWrap w:val="0"/>
            <w:vAlign w:val="top"/>
          </w:tcPr>
          <w:p>
            <w:pPr>
              <w:pStyle w:val="7"/>
            </w:pPr>
          </w:p>
        </w:tc>
        <w:tc>
          <w:tcPr>
            <w:tcW w:w="494" w:type="dxa"/>
            <w:noWrap w:val="0"/>
            <w:vAlign w:val="top"/>
          </w:tcPr>
          <w:p>
            <w:pPr>
              <w:pStyle w:val="7"/>
            </w:pPr>
          </w:p>
        </w:tc>
        <w:tc>
          <w:tcPr>
            <w:tcW w:w="472" w:type="dxa"/>
            <w:noWrap w:val="0"/>
            <w:vAlign w:val="top"/>
          </w:tcPr>
          <w:p>
            <w:pPr>
              <w:pStyle w:val="7"/>
            </w:pPr>
          </w:p>
        </w:tc>
        <w:tc>
          <w:tcPr>
            <w:tcW w:w="489" w:type="dxa"/>
            <w:noWrap w:val="0"/>
            <w:vAlign w:val="top"/>
          </w:tcPr>
          <w:p>
            <w:pPr>
              <w:pStyle w:val="7"/>
            </w:pPr>
          </w:p>
        </w:tc>
        <w:tc>
          <w:tcPr>
            <w:tcW w:w="511" w:type="dxa"/>
            <w:noWrap w:val="0"/>
            <w:vAlign w:val="top"/>
          </w:tcPr>
          <w:p>
            <w:pPr>
              <w:pStyle w:val="7"/>
            </w:pPr>
          </w:p>
        </w:tc>
        <w:tc>
          <w:tcPr>
            <w:tcW w:w="472" w:type="dxa"/>
            <w:noWrap w:val="0"/>
            <w:vAlign w:val="top"/>
          </w:tcPr>
          <w:p>
            <w:pPr>
              <w:pStyle w:val="7"/>
            </w:pPr>
          </w:p>
        </w:tc>
        <w:tc>
          <w:tcPr>
            <w:tcW w:w="415" w:type="dxa"/>
            <w:noWrap w:val="0"/>
            <w:vAlign w:val="top"/>
          </w:tcPr>
          <w:p>
            <w:pPr>
              <w:pStyle w:val="7"/>
            </w:pPr>
          </w:p>
        </w:tc>
        <w:tc>
          <w:tcPr>
            <w:tcW w:w="585" w:type="dxa"/>
            <w:noWrap w:val="0"/>
            <w:vAlign w:val="top"/>
          </w:tcPr>
          <w:p>
            <w:pPr>
              <w:pStyle w:val="7"/>
            </w:pPr>
          </w:p>
        </w:tc>
        <w:tc>
          <w:tcPr>
            <w:tcW w:w="472" w:type="dxa"/>
            <w:noWrap w:val="0"/>
            <w:vAlign w:val="top"/>
          </w:tcPr>
          <w:p>
            <w:pPr>
              <w:pStyle w:val="7"/>
            </w:pPr>
          </w:p>
        </w:tc>
        <w:tc>
          <w:tcPr>
            <w:tcW w:w="698" w:type="dxa"/>
            <w:noWrap w:val="0"/>
            <w:vAlign w:val="top"/>
          </w:tcPr>
          <w:p>
            <w:pPr>
              <w:pStyle w:val="7"/>
            </w:pPr>
          </w:p>
        </w:tc>
        <w:tc>
          <w:tcPr>
            <w:tcW w:w="437" w:type="dxa"/>
            <w:noWrap w:val="0"/>
            <w:vAlign w:val="top"/>
          </w:tcPr>
          <w:p>
            <w:pPr>
              <w:pStyle w:val="7"/>
            </w:pPr>
          </w:p>
        </w:tc>
        <w:tc>
          <w:tcPr>
            <w:tcW w:w="451" w:type="dxa"/>
            <w:noWrap w:val="0"/>
            <w:vAlign w:val="top"/>
          </w:tcPr>
          <w:p>
            <w:pPr>
              <w:pStyle w:val="7"/>
            </w:pPr>
          </w:p>
        </w:tc>
        <w:tc>
          <w:tcPr>
            <w:tcW w:w="1611" w:type="dxa"/>
            <w:noWrap w:val="0"/>
            <w:vAlign w:val="top"/>
          </w:tcPr>
          <w:p>
            <w:pPr>
              <w:pStyle w:val="7"/>
            </w:pPr>
          </w:p>
        </w:tc>
      </w:tr>
    </w:tbl>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（2）裁员涉及部门、岗位、人数、被裁减人员数量占职工总数的比例</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（3）裁员标准</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（4）裁员成本：预计元</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其中：●经济补偿：</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被裁减人员本单位平均工作年限：</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被裁减人员月平均工资标准：</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本地区上年度职工月平均工资：</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月工资高于本地区上年度职工月平均工资三倍的被裁人员人数:</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●应偿还的拖欠职工工资（若存在此类情况）:</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●需补缴的社会保险费（若存在此类情况）:</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●一次性伤残就业补助金（若存在此类情况）:</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●其他（如特殊职工帮扶费用）:</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3.*月*日，根据管理层研究意见修改完善，形成裁员草案。</w:t>
      </w:r>
    </w:p>
    <w:p>
      <w:pPr>
        <w:pStyle w:val="2"/>
        <w:keepNext w:val="0"/>
        <w:keepLines w:val="0"/>
        <w:pageBreakBefore w:val="0"/>
        <w:widowControl w:val="0"/>
        <w:kinsoku/>
        <w:wordWrap/>
        <w:overflowPunct/>
        <w:topLinePunct/>
        <w:autoSpaceDE/>
        <w:autoSpaceDN/>
        <w:bidi w:val="0"/>
        <w:adjustRightInd/>
        <w:snapToGrid/>
        <w:spacing w:before="116" w:line="579" w:lineRule="exact"/>
        <w:ind w:firstLine="640" w:firstLineChars="200"/>
        <w:jc w:val="both"/>
        <w:textAlignment w:val="auto"/>
        <w:rPr>
          <w:rFonts w:hint="eastAsia" w:ascii="CESI黑体-GB2312" w:hAnsi="CESI黑体-GB2312" w:eastAsia="CESI黑体-GB2312" w:cs="CESI黑体-GB2312"/>
          <w:kern w:val="0"/>
          <w:sz w:val="32"/>
          <w:szCs w:val="32"/>
          <w:lang w:val="en-US" w:eastAsia="zh-CN" w:bidi="ar"/>
        </w:rPr>
      </w:pPr>
      <w:r>
        <w:rPr>
          <w:rFonts w:hint="eastAsia" w:ascii="CESI黑体-GB2312" w:hAnsi="CESI黑体-GB2312" w:eastAsia="CESI黑体-GB2312" w:cs="CESI黑体-GB2312"/>
          <w:kern w:val="0"/>
          <w:sz w:val="32"/>
          <w:szCs w:val="32"/>
          <w:lang w:val="en-US" w:eastAsia="zh-CN" w:bidi="ar"/>
        </w:rPr>
        <w:t>五、依法履行民主程序</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1.*月*日，召开会议，与企业工会沟通裁员有关情况，由企业负责人或裁员工作组组长说明裁员情况，听取工会对裁员草案的意见。</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没有企业工会的，*月*日，召开全体职工大会，由企业负责人或裁员工作组组长向全体职工说明有关情况，公布裁员草案，并公布听取意见的渠道、电话、邮箱等。职工因病、因事不能参加职工大会的，应书面请假，本人签字。</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2.*月*日前，根据工会和职工对裁员草案的意见和建议，对裁员草案进行修改完善，形成报送当地人力资源社会保障部门的裁员方案。</w:t>
      </w:r>
    </w:p>
    <w:p>
      <w:pPr>
        <w:pStyle w:val="2"/>
        <w:keepNext w:val="0"/>
        <w:keepLines w:val="0"/>
        <w:pageBreakBefore w:val="0"/>
        <w:widowControl w:val="0"/>
        <w:kinsoku/>
        <w:wordWrap/>
        <w:overflowPunct/>
        <w:topLinePunct/>
        <w:autoSpaceDE/>
        <w:autoSpaceDN/>
        <w:bidi w:val="0"/>
        <w:adjustRightInd/>
        <w:snapToGrid/>
        <w:spacing w:before="116" w:line="579" w:lineRule="exact"/>
        <w:ind w:firstLine="640" w:firstLineChars="200"/>
        <w:jc w:val="both"/>
        <w:textAlignment w:val="auto"/>
        <w:rPr>
          <w:rFonts w:hint="eastAsia" w:ascii="CESI黑体-GB2312" w:hAnsi="CESI黑体-GB2312" w:eastAsia="CESI黑体-GB2312" w:cs="CESI黑体-GB2312"/>
          <w:kern w:val="0"/>
          <w:sz w:val="32"/>
          <w:szCs w:val="32"/>
          <w:lang w:val="en-US" w:eastAsia="zh-CN" w:bidi="ar"/>
        </w:rPr>
      </w:pPr>
      <w:r>
        <w:rPr>
          <w:rFonts w:hint="eastAsia" w:ascii="CESI黑体-GB2312" w:hAnsi="CESI黑体-GB2312" w:eastAsia="CESI黑体-GB2312" w:cs="CESI黑体-GB2312"/>
          <w:kern w:val="0"/>
          <w:sz w:val="32"/>
          <w:szCs w:val="32"/>
          <w:lang w:val="en-US" w:eastAsia="zh-CN" w:bidi="ar"/>
        </w:rPr>
        <w:t>六、向当地人力资源社会保障部门报告</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*月*日前，按照有关规定向当地人力资源社会保障部门报告裁员有关情况。</w:t>
      </w:r>
    </w:p>
    <w:p>
      <w:pPr>
        <w:pStyle w:val="2"/>
        <w:keepNext w:val="0"/>
        <w:keepLines w:val="0"/>
        <w:pageBreakBefore w:val="0"/>
        <w:widowControl w:val="0"/>
        <w:kinsoku/>
        <w:wordWrap/>
        <w:overflowPunct/>
        <w:topLinePunct/>
        <w:autoSpaceDE/>
        <w:autoSpaceDN/>
        <w:bidi w:val="0"/>
        <w:adjustRightInd/>
        <w:snapToGrid/>
        <w:spacing w:before="116" w:line="579" w:lineRule="exact"/>
        <w:ind w:firstLine="640" w:firstLineChars="200"/>
        <w:jc w:val="both"/>
        <w:textAlignment w:val="auto"/>
        <w:rPr>
          <w:rFonts w:hint="eastAsia" w:ascii="CESI黑体-GB2312" w:hAnsi="CESI黑体-GB2312" w:eastAsia="CESI黑体-GB2312" w:cs="CESI黑体-GB2312"/>
          <w:kern w:val="0"/>
          <w:sz w:val="32"/>
          <w:szCs w:val="32"/>
          <w:lang w:val="en-US" w:eastAsia="zh-CN" w:bidi="ar"/>
        </w:rPr>
      </w:pPr>
      <w:r>
        <w:rPr>
          <w:rFonts w:hint="eastAsia" w:ascii="CESI黑体-GB2312" w:hAnsi="CESI黑体-GB2312" w:eastAsia="CESI黑体-GB2312" w:cs="CESI黑体-GB2312"/>
          <w:kern w:val="0"/>
          <w:sz w:val="32"/>
          <w:szCs w:val="32"/>
          <w:lang w:val="en-US" w:eastAsia="zh-CN" w:bidi="ar"/>
        </w:rPr>
        <w:t>七、确定裁员正式方案</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根据当地人力资源社会保障部门提出的修改意见对裁员方案进行修改完善，形成正式裁员方案并向全体职工公示。</w:t>
      </w:r>
    </w:p>
    <w:p>
      <w:pPr>
        <w:pStyle w:val="2"/>
        <w:keepNext w:val="0"/>
        <w:keepLines w:val="0"/>
        <w:pageBreakBefore w:val="0"/>
        <w:widowControl w:val="0"/>
        <w:kinsoku/>
        <w:wordWrap/>
        <w:overflowPunct/>
        <w:topLinePunct/>
        <w:autoSpaceDE/>
        <w:autoSpaceDN/>
        <w:bidi w:val="0"/>
        <w:adjustRightInd/>
        <w:snapToGrid/>
        <w:spacing w:before="116" w:line="579" w:lineRule="exact"/>
        <w:ind w:firstLine="640" w:firstLineChars="200"/>
        <w:jc w:val="both"/>
        <w:textAlignment w:val="auto"/>
        <w:rPr>
          <w:rFonts w:hint="eastAsia" w:ascii="CESI黑体-GB2312" w:hAnsi="CESI黑体-GB2312" w:eastAsia="CESI黑体-GB2312" w:cs="CESI黑体-GB2312"/>
          <w:kern w:val="0"/>
          <w:sz w:val="32"/>
          <w:szCs w:val="32"/>
          <w:lang w:val="en-US" w:eastAsia="zh-CN" w:bidi="ar"/>
        </w:rPr>
      </w:pPr>
      <w:r>
        <w:rPr>
          <w:rFonts w:hint="eastAsia" w:ascii="CESI黑体-GB2312" w:hAnsi="CESI黑体-GB2312" w:eastAsia="CESI黑体-GB2312" w:cs="CESI黑体-GB2312"/>
          <w:kern w:val="0"/>
          <w:sz w:val="32"/>
          <w:szCs w:val="32"/>
          <w:lang w:val="en-US" w:eastAsia="zh-CN" w:bidi="ar"/>
        </w:rPr>
        <w:t>八、实施裁员方案</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1.*月*日前，根据最终裁员名单通知被裁减人员;</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2.*月*日前，与被裁减人员面谈;</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3.*月*日前，进行工作交接;</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pPr>
      <w:r>
        <w:rPr>
          <w:rFonts w:hint="eastAsia" w:ascii="CESI仿宋-GB2312" w:hAnsi="CESI仿宋-GB2312" w:eastAsia="CESI仿宋-GB2312" w:cs="CESI仿宋-GB2312"/>
          <w:kern w:val="0"/>
          <w:sz w:val="32"/>
          <w:szCs w:val="32"/>
          <w:lang w:val="en-US" w:eastAsia="zh-CN" w:bidi="ar"/>
        </w:rPr>
        <w:t>4.*月*日前，办理被裁减人员离职手续，结清工资、缴纳社会保险费，支付经济补偿、一次性伤残就业补助金等；</w:t>
      </w:r>
    </w:p>
    <w:p>
      <w:pPr>
        <w:pStyle w:val="2"/>
        <w:keepNext w:val="0"/>
        <w:keepLines w:val="0"/>
        <w:pageBreakBefore w:val="0"/>
        <w:widowControl w:val="0"/>
        <w:kinsoku/>
        <w:wordWrap/>
        <w:overflowPunct/>
        <w:topLinePunct/>
        <w:autoSpaceDE/>
        <w:autoSpaceDN/>
        <w:bidi w:val="0"/>
        <w:adjustRightInd/>
        <w:snapToGrid/>
        <w:spacing w:line="579" w:lineRule="exact"/>
        <w:ind w:right="0" w:firstLine="640" w:firstLineChars="200"/>
        <w:jc w:val="both"/>
        <w:textAlignment w:val="auto"/>
        <w:rPr>
          <w:rFonts w:hint="eastAsia" w:ascii="CESI仿宋-GB2312" w:hAnsi="CESI仿宋-GB2312" w:eastAsia="CESI仿宋-GB2312" w:cs="CESI仿宋-GB2312"/>
          <w:kern w:val="0"/>
          <w:sz w:val="32"/>
          <w:szCs w:val="32"/>
          <w:lang w:val="en-US" w:eastAsia="zh-CN" w:bidi="ar"/>
        </w:rPr>
        <w:sectPr>
          <w:pgSz w:w="11906" w:h="16838"/>
          <w:pgMar w:top="2098" w:right="1474" w:bottom="1984" w:left="1587" w:header="0" w:footer="1746" w:gutter="0"/>
          <w:pgNumType w:fmt="decimal"/>
          <w:cols w:space="720" w:num="1"/>
          <w:rtlGutter w:val="0"/>
          <w:docGrid w:linePitch="0" w:charSpace="0"/>
        </w:sectPr>
      </w:pPr>
      <w:r>
        <w:rPr>
          <w:rFonts w:hint="eastAsia" w:ascii="CESI仿宋-GB2312" w:hAnsi="CESI仿宋-GB2312" w:eastAsia="CESI仿宋-GB2312" w:cs="CESI仿宋-GB2312"/>
          <w:kern w:val="0"/>
          <w:sz w:val="32"/>
          <w:szCs w:val="32"/>
          <w:lang w:val="en-US" w:eastAsia="zh-CN" w:bidi="ar"/>
        </w:rPr>
        <w:t>5.*月*日前，办理社会保险和档案转移手续。</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CESI黑体-GB2312">
    <w:altName w:val="黑体"/>
    <w:panose1 w:val="02000500000000000000"/>
    <w:charset w:val="86"/>
    <w:family w:val="auto"/>
    <w:pitch w:val="default"/>
    <w:sig w:usb0="00000000" w:usb1="00000000" w:usb2="00000012" w:usb3="00000000" w:csb0="0004000F" w:csb1="00000000"/>
  </w:font>
  <w:font w:name="方正小标宋简体">
    <w:panose1 w:val="03000509000000000000"/>
    <w:charset w:val="86"/>
    <w:family w:val="auto"/>
    <w:pitch w:val="default"/>
    <w:sig w:usb0="00000001" w:usb1="080E0000" w:usb2="00000000" w:usb3="00000000" w:csb0="00040000" w:csb1="00000000"/>
  </w:font>
  <w:font w:name="CESI楷体-GB2312">
    <w:altName w:val="楷体_GB2312"/>
    <w:panose1 w:val="02000500000000000000"/>
    <w:charset w:val="86"/>
    <w:family w:val="auto"/>
    <w:pitch w:val="default"/>
    <w:sig w:usb0="00000000" w:usb1="00000000" w:usb2="00000012" w:usb3="00000000" w:csb0="0004000F" w:csb1="00000000"/>
  </w:font>
  <w:font w:name="CESI仿宋-GB2312">
    <w:altName w:val="仿宋"/>
    <w:panose1 w:val="02000500000000000000"/>
    <w:charset w:val="86"/>
    <w:family w:val="auto"/>
    <w:pitch w:val="default"/>
    <w:sig w:usb0="00000000" w:usb1="00000000" w:usb2="00000010" w:usb3="00000000" w:csb0="0004000F"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096CEF"/>
    <w:multiLevelType w:val="singleLevel"/>
    <w:tmpl w:val="AD096CEF"/>
    <w:lvl w:ilvl="0" w:tentative="0">
      <w:start w:val="1"/>
      <w:numFmt w:val="decimal"/>
      <w:lvlText w:val="%1."/>
      <w:lvlJc w:val="left"/>
      <w:pPr>
        <w:tabs>
          <w:tab w:val="left" w:pos="312"/>
        </w:tabs>
      </w:pPr>
    </w:lvl>
  </w:abstractNum>
  <w:abstractNum w:abstractNumId="1">
    <w:nsid w:val="FEFAE12B"/>
    <w:multiLevelType w:val="singleLevel"/>
    <w:tmpl w:val="FEFAE12B"/>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zMGUwMGNlNTk5NTgyMDQ5YzIyNjE4NGE2OWZkMWQifQ=="/>
  </w:docVars>
  <w:rsids>
    <w:rsidRoot w:val="76031A2D"/>
    <w:rsid w:val="76031A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28"/>
      <w:szCs w:val="28"/>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table" w:customStyle="1" w:styleId="6">
    <w:name w:val="Table Normal"/>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2023-11-06T06:51:00Z</dcterms:created>
  <dc:creator>懒</dc:creator>
  <cp:lastModifiedBy>懒</cp:lastModifiedBy>
  <dcterms:modified xsi:type="dcterms:W3CDTF">2023-11-06T06:53:39Z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16390295BE32498D9FEBFAC316D16655_11</vt:lpwstr>
  </property>
</Properties>
</file>