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附件1：</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广水市人社局关于开展“人社惠民政策进万家”政策法规宣传活动的实施方案</w:t>
      </w:r>
    </w:p>
    <w:p>
      <w:pPr>
        <w:keepNext w:val="0"/>
        <w:keepLines w:val="0"/>
        <w:pageBreakBefore w:val="0"/>
        <w:kinsoku/>
        <w:wordWrap/>
        <w:overflowPunct/>
        <w:topLinePunct w:val="0"/>
        <w:autoSpaceDE/>
        <w:autoSpaceDN/>
        <w:bidi w:val="0"/>
        <w:adjustRightInd/>
        <w:snapToGrid/>
        <w:spacing w:line="579" w:lineRule="exact"/>
        <w:jc w:val="center"/>
        <w:textAlignment w:val="auto"/>
        <w:rPr>
          <w:rFonts w:hint="eastAsia" w:ascii="方正小标宋简体" w:hAnsi="方正小标宋简体" w:eastAsia="方正小标宋简体" w:cs="方正小标宋简体"/>
          <w:sz w:val="36"/>
          <w:szCs w:val="36"/>
          <w:lang w:val="en-US" w:eastAsia="zh-CN"/>
        </w:rPr>
      </w:pPr>
    </w:p>
    <w:p>
      <w:p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党的二十大精神和习近平总书记关于人社工作重要论述,全面落实省人社厅工作部署，持续优化营商环境，进一步加强人社政策法规宣传，提高人社惠民、惠企政策知晓度，全面提升我市人社系统优质服务水平。根据省、市关于开展“人社惠民政策进万家”活动要求，结合我局实际，特制定本实施方案。</w:t>
      </w:r>
    </w:p>
    <w:p>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总体要求</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高举中国特色社会主义伟大旗帜，深入贯彻落实习近平新时代中国特色社会主义思想及重要讲话精神，把宣传学习二十大精神与人社惠企惠民政策有机结合，以人力资源社会保障政策宣传为主要内容，以精细化推动、精准化解读为突破口，进一步提高人社系统干部职工的政策水平和群众对人力资源社会保障政策的知晓度，为全市广大群众提供更加贴心、暖心的人力资源和社会保障服务。</w:t>
      </w:r>
    </w:p>
    <w:p>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活动目的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五进五促政策宣讲”活动为载体，多渠道多形式加强政策公开、政策解读、政策宣讲、政策落实力度，不断提高就业创业、社会保障、人事人才、劳动关系、公共服务等方面人社惠民利企政策社会知晓度，提高用人单位依法用工、劳动者依法维权能力，提高系统干部职工依法行政能力和政策业务水平，推进各项政策落实落地，增强人民群众的幸福感和获得感，服务经济社会发展和民生保障大局。</w:t>
      </w:r>
    </w:p>
    <w:p>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活动主题</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法治人社泽荆楚 惠民政策进万家</w:t>
      </w:r>
    </w:p>
    <w:p>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left="0" w:leftChars="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活动时间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3月份启动，4月份全面开展，11月下旬活动总结。（详见附件：广水市人社局“五进五促政策宣讲”活动计划表）</w:t>
      </w:r>
    </w:p>
    <w:p>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left="0" w:leftChars="0"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活动内容</w:t>
      </w:r>
    </w:p>
    <w:p>
      <w:pPr>
        <w:keepNext w:val="0"/>
        <w:keepLines w:val="0"/>
        <w:pageBreakBefore w:val="0"/>
        <w:widowControl w:val="0"/>
        <w:numPr>
          <w:ilvl w:val="0"/>
          <w:numId w:val="2"/>
        </w:numPr>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开展综合宣传活动，营造浓厚的政策宣讲氛围。</w:t>
      </w:r>
      <w:r>
        <w:rPr>
          <w:rFonts w:hint="eastAsia" w:ascii="仿宋_GB2312" w:hAnsi="仿宋_GB2312" w:eastAsia="仿宋_GB2312" w:cs="仿宋_GB2312"/>
          <w:sz w:val="32"/>
          <w:szCs w:val="32"/>
          <w:lang w:val="en-US" w:eastAsia="zh-CN"/>
        </w:rPr>
        <w:t>聚焦企业群众最常遇到的高频办事服务事项，印制</w:t>
      </w:r>
      <w:r>
        <w:rPr>
          <w:rFonts w:hint="eastAsia" w:ascii="楷体_GB2312" w:hAnsi="楷体_GB2312" w:eastAsia="楷体_GB2312" w:cs="楷体_GB2312"/>
          <w:sz w:val="32"/>
          <w:szCs w:val="32"/>
          <w:lang w:val="en-US" w:eastAsia="zh-CN"/>
        </w:rPr>
        <w:t>“</w:t>
      </w:r>
      <w:r>
        <w:rPr>
          <w:rFonts w:hint="eastAsia" w:ascii="仿宋_GB2312" w:hAnsi="仿宋_GB2312" w:eastAsia="仿宋_GB2312" w:cs="仿宋_GB2312"/>
          <w:sz w:val="32"/>
          <w:szCs w:val="32"/>
          <w:lang w:val="en-US" w:eastAsia="zh-CN"/>
        </w:rPr>
        <w:t>人社惠民政策进万家</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宣传手册，围绕宣传社会保险政策和便民服务措施，广泛开展内容丰富、形式多样社保服务进万家活动，推动解决群众办事难点堵点；依托第二届全省职业技能大赛和“湖北工匠”活动，大力宣传技能人才相关政策；聚焦高层次人才最常遇到、最关注的服务事项，定期举办各类交流活动；充分发挥人社服务窗口宣传主阵地功能，通过摆放政策宣讲资料，公示服务指南信息，设立政策咨询引导，播放宣传视频、现场讲解等方式，把政策宣传融入日常服务和业务经办过程中，营造良好的宣传环境和氛围。</w:t>
      </w:r>
    </w:p>
    <w:p>
      <w:pPr>
        <w:keepNext w:val="0"/>
        <w:keepLines w:val="0"/>
        <w:pageBreakBefore w:val="0"/>
        <w:widowControl w:val="0"/>
        <w:numPr>
          <w:ilvl w:val="0"/>
          <w:numId w:val="2"/>
        </w:numPr>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开展“惠企维权政策宣讲”进企业活动，推动实体经济发展和劳动关系和谐</w:t>
      </w:r>
      <w:r>
        <w:rPr>
          <w:rFonts w:hint="eastAsia" w:ascii="楷体_GB2312" w:hAnsi="楷体_GB2312" w:eastAsia="楷体_GB2312" w:cs="楷体_GB2312"/>
          <w:sz w:val="30"/>
          <w:szCs w:val="30"/>
          <w:lang w:val="en-US" w:eastAsia="zh-CN"/>
        </w:rPr>
        <w:t>。</w:t>
      </w:r>
      <w:r>
        <w:rPr>
          <w:rFonts w:hint="eastAsia" w:ascii="仿宋_GB2312" w:hAnsi="仿宋_GB2312" w:eastAsia="仿宋_GB2312" w:cs="仿宋_GB2312"/>
          <w:sz w:val="32"/>
          <w:szCs w:val="32"/>
          <w:lang w:val="en-US" w:eastAsia="zh-CN"/>
        </w:rPr>
        <w:t>面向全市人力资源服务机构，结合行业培训活动等，宣传我市人力资源市场建设、人力资源服务业发展相关政策，确保人力资源市场规范运营；聚焦平台企业及新就业形态劳动者，开展新就业形态劳动权益保障政策指导；开展工伤预防培训与宣传，广泛宣传工伤保险政策，带动工伤预防工作全面铺开，营造全社会参加工伤保险和预防工伤的氛围；深入企事业单位和镇办人社中心开展社保基金监督，兜牢基金安全底线；继续扎实开展千名仲裁员服务万企活动，加强与企业的沟通联系，开展法律法规宣传，防范化解劳动关系领域中的各种矛盾；创新开展青年仲裁员志愿者联系企业活动，深入企业，了解企业需求，做好人社法律法规宣传宣讲工作；开展稳岗返还惠企政策宣讲，将政策送到位、服务到位、落实到位，助力企业又好又快发展。</w:t>
      </w:r>
    </w:p>
    <w:p>
      <w:pPr>
        <w:keepNext w:val="0"/>
        <w:keepLines w:val="0"/>
        <w:pageBreakBefore w:val="0"/>
        <w:widowControl w:val="0"/>
        <w:numPr>
          <w:ilvl w:val="0"/>
          <w:numId w:val="2"/>
        </w:numPr>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开展“就业创业政策宣讲”进校园活动，助力高校毕业生就业创业。</w:t>
      </w:r>
      <w:r>
        <w:rPr>
          <w:rFonts w:hint="eastAsia" w:ascii="仿宋_GB2312" w:hAnsi="仿宋_GB2312" w:eastAsia="仿宋_GB2312" w:cs="仿宋_GB2312"/>
          <w:sz w:val="32"/>
          <w:szCs w:val="32"/>
          <w:lang w:val="en-US" w:eastAsia="zh-CN"/>
        </w:rPr>
        <w:t>深入高校重点宣传我市在促进人才就业创业、人事人才管理、“三支一扶”服务基层计划、事业单位公开招聘等方面的政策，结合“才聚荆楚”系列活动，对大学生宣传解读就业政策，开展就业指导等服务，鼓励引导高校毕业生来广就业。</w:t>
      </w:r>
    </w:p>
    <w:p>
      <w:pPr>
        <w:keepNext w:val="0"/>
        <w:keepLines w:val="0"/>
        <w:pageBreakBefore w:val="0"/>
        <w:widowControl w:val="0"/>
        <w:numPr>
          <w:ilvl w:val="0"/>
          <w:numId w:val="2"/>
        </w:numPr>
        <w:kinsoku/>
        <w:wordWrap/>
        <w:overflowPunct/>
        <w:topLinePunct w:val="0"/>
        <w:autoSpaceDE/>
        <w:autoSpaceDN/>
        <w:bidi w:val="0"/>
        <w:adjustRightInd/>
        <w:snapToGrid/>
        <w:spacing w:line="579"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开展“人社便民利民政策宣讲”进村居（社区）活动，促进人社政策落实落地。</w:t>
      </w:r>
      <w:r>
        <w:rPr>
          <w:rFonts w:hint="eastAsia" w:ascii="仿宋_GB2312" w:hAnsi="仿宋_GB2312" w:eastAsia="仿宋_GB2312" w:cs="仿宋_GB2312"/>
          <w:sz w:val="32"/>
          <w:szCs w:val="32"/>
          <w:lang w:val="en-US" w:eastAsia="zh-CN"/>
        </w:rPr>
        <w:t>根据《关于调整城乡居民基本养老保险缴费有关政策的通知》文件精神，全面准确开展政策宣传，引导城乡居民踊跃参保、持续缴费、增加个人账</w:t>
      </w:r>
      <w:r>
        <w:rPr>
          <w:rFonts w:hint="eastAsia" w:ascii="仿宋_GB2312" w:hAnsi="仿宋_GB2312" w:eastAsia="仿宋_GB2312" w:cs="仿宋_GB2312"/>
          <w:sz w:val="32"/>
          <w:szCs w:val="32"/>
          <w:highlight w:val="none"/>
          <w:lang w:val="en-US" w:eastAsia="zh-CN"/>
        </w:rPr>
        <w:t>户积累，逐步</w:t>
      </w:r>
      <w:r>
        <w:rPr>
          <w:rFonts w:hint="eastAsia" w:ascii="仿宋_GB2312" w:hAnsi="仿宋_GB2312" w:eastAsia="仿宋_GB2312" w:cs="仿宋_GB2312"/>
          <w:sz w:val="32"/>
          <w:szCs w:val="32"/>
          <w:lang w:val="en-US" w:eastAsia="zh-CN"/>
        </w:rPr>
        <w:t>提高待遇水平，让“多缴多得、长缴多得”观念深入人心；针对养老保险死亡冒领等突出问题，制作专项举报宣传海报，开展针对性执法宣传；组织开展社保卡居民服务“一卡通”宣传推广，全面宣传社保卡服务品牌、服务事项、服务方式，通过投放宣传视频、印刷功能海报、发放操作手册等方式，让群众真正知卡、懂卡、用卡，增强社保卡服务的公众认知度，提升群众满意度；开展“春风行动”等公共就业服务活动，广泛进乡镇、村居宣传返乡创业扶持政策，引导在外人员返乡创业；通过线上线下相结合的方式，开展就业创业培训政策进乡镇、进村居活动。</w:t>
      </w:r>
    </w:p>
    <w:p>
      <w:pPr>
        <w:keepNext w:val="0"/>
        <w:keepLines w:val="0"/>
        <w:pageBreakBefore w:val="0"/>
        <w:widowControl w:val="0"/>
        <w:numPr>
          <w:ilvl w:val="0"/>
          <w:numId w:val="2"/>
        </w:numPr>
        <w:kinsoku/>
        <w:wordWrap/>
        <w:overflowPunct/>
        <w:topLinePunct w:val="0"/>
        <w:autoSpaceDE/>
        <w:autoSpaceDN/>
        <w:bidi w:val="0"/>
        <w:adjustRightInd/>
        <w:snapToGrid/>
        <w:spacing w:line="579"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开</w:t>
      </w:r>
      <w:r>
        <w:rPr>
          <w:rFonts w:hint="eastAsia" w:ascii="楷体_GB2312" w:hAnsi="楷体_GB2312" w:eastAsia="楷体_GB2312" w:cs="楷体_GB2312"/>
          <w:sz w:val="32"/>
          <w:szCs w:val="32"/>
          <w:highlight w:val="none"/>
          <w:lang w:val="en-US" w:eastAsia="zh-CN"/>
        </w:rPr>
        <w:t>展“根治欠薪政策宣讲”进工地</w:t>
      </w:r>
      <w:r>
        <w:rPr>
          <w:rFonts w:hint="eastAsia" w:ascii="楷体_GB2312" w:hAnsi="楷体_GB2312" w:eastAsia="楷体_GB2312" w:cs="楷体_GB2312"/>
          <w:sz w:val="32"/>
          <w:szCs w:val="32"/>
          <w:lang w:val="en-US" w:eastAsia="zh-CN"/>
        </w:rPr>
        <w:t>活动，保障农民工合法权益。</w:t>
      </w:r>
      <w:r>
        <w:rPr>
          <w:rFonts w:hint="eastAsia" w:ascii="仿宋_GB2312" w:hAnsi="仿宋_GB2312" w:eastAsia="仿宋_GB2312" w:cs="仿宋_GB2312"/>
          <w:sz w:val="32"/>
          <w:szCs w:val="32"/>
          <w:lang w:val="en-US" w:eastAsia="zh-CN"/>
        </w:rPr>
        <w:t>以贯彻落实《劳动保障监察条例》、《保障农民工工资支付条例》等法律法规为目标，通过日常巡查、专项检查到各在建项目和用人单位进行政策宣讲，规范企业用工行为，推进农民工服务保障和工资支付落实落地，保障农民工合法权益。</w:t>
      </w:r>
    </w:p>
    <w:p>
      <w:pPr>
        <w:keepNext w:val="0"/>
        <w:keepLines w:val="0"/>
        <w:pageBreakBefore w:val="0"/>
        <w:widowControl w:val="0"/>
        <w:numPr>
          <w:ilvl w:val="0"/>
          <w:numId w:val="2"/>
        </w:numPr>
        <w:kinsoku/>
        <w:wordWrap/>
        <w:overflowPunct/>
        <w:topLinePunct w:val="0"/>
        <w:autoSpaceDE/>
        <w:autoSpaceDN/>
        <w:bidi w:val="0"/>
        <w:adjustRightInd/>
        <w:snapToGrid/>
        <w:spacing w:line="579" w:lineRule="exact"/>
        <w:ind w:left="0"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开展“人社政策业务学习”进系统活动，提升为民服务能力水平。</w:t>
      </w:r>
      <w:r>
        <w:rPr>
          <w:rFonts w:hint="eastAsia" w:ascii="仿宋_GB2312" w:hAnsi="仿宋_GB2312" w:eastAsia="仿宋_GB2312" w:cs="仿宋_GB2312"/>
          <w:sz w:val="32"/>
          <w:szCs w:val="32"/>
          <w:lang w:val="en-US" w:eastAsia="zh-CN"/>
        </w:rPr>
        <w:t>积极开展人社系统青年学教活动，组织市人社系统40周岁及以下青年干部职工学习人社政策法规；通过练兵比武在线学习平台、线上答题等方式加强干部职工人社政策法规学习，增强系统干部政治素养、业务能力和服务本领，营造人社政策法规学习良好氛围。</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六、工作要求</w:t>
      </w:r>
    </w:p>
    <w:p>
      <w:pPr>
        <w:keepNext w:val="0"/>
        <w:keepLines w:val="0"/>
        <w:pageBreakBefore w:val="0"/>
        <w:widowControl w:val="0"/>
        <w:numPr>
          <w:ilvl w:val="0"/>
          <w:numId w:val="3"/>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提高政治站位，统一思想认识。</w:t>
      </w:r>
      <w:r>
        <w:rPr>
          <w:rFonts w:hint="eastAsia" w:ascii="仿宋_GB2312" w:hAnsi="仿宋_GB2312" w:eastAsia="仿宋_GB2312" w:cs="仿宋_GB2312"/>
          <w:sz w:val="32"/>
          <w:szCs w:val="32"/>
          <w:lang w:val="en-US" w:eastAsia="zh-CN"/>
        </w:rPr>
        <w:t>各部门要以习近平新时代中国特色社会主义思想为指导，把开展好“人社惠民政策进万家”宣传活动作为学习宣传贯彻党的二十大精神的重要抓手，切实提高政治站位，统一思想和行动，结合工作实际，精心制定活动方案，认真组织实施，确保人社惠民政策宣传的正确政治方向和舆论导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579" w:lineRule="exact"/>
        <w:ind w:left="0" w:right="0" w:firstLine="645"/>
        <w:jc w:val="left"/>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sz w:val="32"/>
          <w:szCs w:val="32"/>
          <w:lang w:val="en-US" w:eastAsia="zh-CN"/>
        </w:rPr>
        <w:t>(二）强化组织领导，压紧压实责任。</w:t>
      </w:r>
      <w:r>
        <w:rPr>
          <w:rFonts w:hint="eastAsia" w:ascii="仿宋_GB2312" w:hAnsi="仿宋_GB2312" w:eastAsia="仿宋_GB2312" w:cs="仿宋_GB2312"/>
          <w:kern w:val="2"/>
          <w:sz w:val="32"/>
          <w:szCs w:val="32"/>
          <w:lang w:val="en-US" w:eastAsia="zh-CN" w:bidi="ar-SA"/>
        </w:rPr>
        <w:t>广水市人社局成立“人社惠民政策进万家”的工作领导小组，组长为方艳军，各分管领导为各自分管领域的责任人，局总牵头股室为政务服务（法制）股，各二级单位要确定一名联络人，确保工作有序开展。局机关各股室、各经办单位、各镇办人社中心要加强组织协调，制定宣讲方案、细化工作措施、明确工作职责，有计划、分步骤宣讲社会关注度高、人民群众普遍关心的人社惠企利民政策，推进“人社惠民政策进万家”活动落到实处。</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sz w:val="32"/>
          <w:szCs w:val="32"/>
          <w:lang w:val="en-US" w:eastAsia="zh-CN"/>
        </w:rPr>
        <w:t>（三）线上线下发力，营造良好氛围。</w:t>
      </w:r>
      <w:r>
        <w:rPr>
          <w:rFonts w:hint="eastAsia" w:ascii="仿宋_GB2312" w:hAnsi="仿宋_GB2312" w:eastAsia="仿宋_GB2312" w:cs="仿宋_GB2312"/>
          <w:kern w:val="2"/>
          <w:sz w:val="32"/>
          <w:szCs w:val="32"/>
          <w:lang w:val="en-US" w:eastAsia="zh-CN" w:bidi="ar-SA"/>
        </w:rPr>
        <w:t>要综合运用人社系统的各类平台，线上通过政府门户网站、云上广水、电子显示屏等平台，线下结合镇办人社服务中心、乡镇便民服务中心等机构，立足工作实际，精心组织实施，坚持贴近实际，贴近生活，贴近群众，努力扩大工作的覆盖面和影响力，让正能量产生大流量，营造浓厚的宣传宣讲氛围，确保宣传取得实效。</w:t>
      </w:r>
    </w:p>
    <w:p>
      <w:pPr>
        <w:pStyle w:val="2"/>
        <w:keepNext w:val="0"/>
        <w:keepLines w:val="0"/>
        <w:pageBreakBefore w:val="0"/>
        <w:widowControl w:val="0"/>
        <w:kinsoku/>
        <w:wordWrap/>
        <w:overflowPunct/>
        <w:topLinePunct w:val="0"/>
        <w:autoSpaceDE/>
        <w:autoSpaceDN/>
        <w:bidi w:val="0"/>
        <w:adjustRightInd/>
        <w:snapToGrid/>
        <w:spacing w:before="0" w:beforeAutospacing="0" w:line="579" w:lineRule="exact"/>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line="579" w:lineRule="exact"/>
        <w:textAlignment w:val="auto"/>
        <w:rPr>
          <w:rFonts w:hint="eastAsia" w:ascii="仿宋_GB2312" w:hAnsi="仿宋_GB2312" w:eastAsia="仿宋_GB2312" w:cs="仿宋_GB2312"/>
          <w:kern w:val="2"/>
          <w:sz w:val="32"/>
          <w:szCs w:val="32"/>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before="0" w:beforeAutospacing="0" w:line="579" w:lineRule="exact"/>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Autospacing="0" w:line="579" w:lineRule="exact"/>
        <w:ind w:firstLine="3840" w:firstLineChars="1200"/>
        <w:jc w:val="righ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广水市人力资源和社会保障局</w:t>
      </w:r>
    </w:p>
    <w:p>
      <w:pPr>
        <w:keepNext w:val="0"/>
        <w:keepLines w:val="0"/>
        <w:pageBreakBefore w:val="0"/>
        <w:widowControl w:val="0"/>
        <w:kinsoku/>
        <w:wordWrap/>
        <w:overflowPunct/>
        <w:topLinePunct w:val="0"/>
        <w:autoSpaceDE/>
        <w:autoSpaceDN/>
        <w:bidi w:val="0"/>
        <w:adjustRightInd/>
        <w:snapToGrid/>
        <w:spacing w:beforeAutospacing="0" w:line="579" w:lineRule="exact"/>
        <w:ind w:firstLine="5120" w:firstLineChars="1600"/>
        <w:textAlignment w:val="auto"/>
        <w:rPr>
          <w:rFonts w:hint="default" w:ascii="楷体_GB2312" w:hAnsi="楷体_GB2312" w:eastAsia="楷体_GB2312" w:cs="楷体_GB2312"/>
          <w:sz w:val="32"/>
          <w:szCs w:val="32"/>
          <w:lang w:val="en-US"/>
        </w:rPr>
      </w:pPr>
      <w:bookmarkStart w:id="0" w:name="_GoBack"/>
      <w:bookmarkEnd w:id="0"/>
      <w:r>
        <w:rPr>
          <w:rFonts w:hint="eastAsia" w:ascii="仿宋_GB2312" w:hAnsi="仿宋_GB2312" w:eastAsia="仿宋_GB2312" w:cs="仿宋_GB2312"/>
          <w:kern w:val="2"/>
          <w:sz w:val="32"/>
          <w:szCs w:val="32"/>
          <w:lang w:val="en-US" w:eastAsia="zh-CN" w:bidi="ar-SA"/>
        </w:rPr>
        <w:t>2024年3月28日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741EE2"/>
    <w:multiLevelType w:val="singleLevel"/>
    <w:tmpl w:val="85741EE2"/>
    <w:lvl w:ilvl="0" w:tentative="0">
      <w:start w:val="1"/>
      <w:numFmt w:val="chineseCounting"/>
      <w:suff w:val="nothing"/>
      <w:lvlText w:val="（%1）"/>
      <w:lvlJc w:val="left"/>
      <w:rPr>
        <w:rFonts w:hint="eastAsia" w:ascii="楷体_GB2312" w:hAnsi="楷体_GB2312" w:eastAsia="楷体_GB2312" w:cs="楷体_GB2312"/>
        <w:sz w:val="32"/>
        <w:szCs w:val="32"/>
      </w:rPr>
    </w:lvl>
  </w:abstractNum>
  <w:abstractNum w:abstractNumId="1">
    <w:nsid w:val="767B388F"/>
    <w:multiLevelType w:val="singleLevel"/>
    <w:tmpl w:val="767B388F"/>
    <w:lvl w:ilvl="0" w:tentative="0">
      <w:start w:val="1"/>
      <w:numFmt w:val="chineseCounting"/>
      <w:suff w:val="nothing"/>
      <w:lvlText w:val="%1、"/>
      <w:lvlJc w:val="left"/>
      <w:rPr>
        <w:rFonts w:hint="eastAsia"/>
      </w:rPr>
    </w:lvl>
  </w:abstractNum>
  <w:abstractNum w:abstractNumId="2">
    <w:nsid w:val="76CA3986"/>
    <w:multiLevelType w:val="singleLevel"/>
    <w:tmpl w:val="76CA3986"/>
    <w:lvl w:ilvl="0" w:tentative="0">
      <w:start w:val="1"/>
      <w:numFmt w:val="chineseCounting"/>
      <w:suff w:val="nothing"/>
      <w:lvlText w:val="（%1）"/>
      <w:lvlJc w:val="left"/>
      <w:rPr>
        <w:rFonts w:hint="eastAsia" w:ascii="楷体_GB2312" w:hAnsi="楷体_GB2312" w:eastAsia="楷体_GB2312" w:cs="楷体_GB2312"/>
        <w:sz w:val="32"/>
        <w:szCs w:val="32"/>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xNWUwMTZkNDUyODZlODkyODFmZjY3MDg2Y2JkMzEifQ=="/>
  </w:docVars>
  <w:rsids>
    <w:rsidRoot w:val="33CC22E4"/>
    <w:rsid w:val="01453A14"/>
    <w:rsid w:val="016F45ED"/>
    <w:rsid w:val="01854D5B"/>
    <w:rsid w:val="020D728E"/>
    <w:rsid w:val="02117D9A"/>
    <w:rsid w:val="02691984"/>
    <w:rsid w:val="02AF64AA"/>
    <w:rsid w:val="03410A57"/>
    <w:rsid w:val="03D1333D"/>
    <w:rsid w:val="0433224A"/>
    <w:rsid w:val="043A7334"/>
    <w:rsid w:val="04722D72"/>
    <w:rsid w:val="051C765B"/>
    <w:rsid w:val="052B4CCF"/>
    <w:rsid w:val="053E4A03"/>
    <w:rsid w:val="05856AD5"/>
    <w:rsid w:val="0597398C"/>
    <w:rsid w:val="05C13151"/>
    <w:rsid w:val="05CF1AFF"/>
    <w:rsid w:val="063D115E"/>
    <w:rsid w:val="067A4160"/>
    <w:rsid w:val="06F86E33"/>
    <w:rsid w:val="073F4A62"/>
    <w:rsid w:val="07462D32"/>
    <w:rsid w:val="07746BCF"/>
    <w:rsid w:val="079C3C62"/>
    <w:rsid w:val="07AD2313"/>
    <w:rsid w:val="084C38DA"/>
    <w:rsid w:val="08E12D12"/>
    <w:rsid w:val="096F5AD2"/>
    <w:rsid w:val="0AC94A31"/>
    <w:rsid w:val="0C8C24F7"/>
    <w:rsid w:val="0CC2416B"/>
    <w:rsid w:val="0CD619C5"/>
    <w:rsid w:val="0D3D5EE8"/>
    <w:rsid w:val="0D460D3A"/>
    <w:rsid w:val="0D77225A"/>
    <w:rsid w:val="0D780CCE"/>
    <w:rsid w:val="0DC932D7"/>
    <w:rsid w:val="0E7E2314"/>
    <w:rsid w:val="0EB61AAE"/>
    <w:rsid w:val="0EEE56EB"/>
    <w:rsid w:val="0F9B0CA3"/>
    <w:rsid w:val="101B2F2C"/>
    <w:rsid w:val="10260EB5"/>
    <w:rsid w:val="1054157E"/>
    <w:rsid w:val="10D821AF"/>
    <w:rsid w:val="112C6057"/>
    <w:rsid w:val="116752E1"/>
    <w:rsid w:val="121E0096"/>
    <w:rsid w:val="12900868"/>
    <w:rsid w:val="12BC165D"/>
    <w:rsid w:val="13042C64"/>
    <w:rsid w:val="1360023A"/>
    <w:rsid w:val="13ED195B"/>
    <w:rsid w:val="148443FC"/>
    <w:rsid w:val="150D2643"/>
    <w:rsid w:val="15604521"/>
    <w:rsid w:val="162C08A7"/>
    <w:rsid w:val="16AB5C70"/>
    <w:rsid w:val="170F61FF"/>
    <w:rsid w:val="18624A54"/>
    <w:rsid w:val="1876405C"/>
    <w:rsid w:val="18F03E0E"/>
    <w:rsid w:val="18F356AC"/>
    <w:rsid w:val="18F842AF"/>
    <w:rsid w:val="196B16E7"/>
    <w:rsid w:val="19EA2F53"/>
    <w:rsid w:val="1A3F6DFB"/>
    <w:rsid w:val="1A5D1977"/>
    <w:rsid w:val="1A8C400A"/>
    <w:rsid w:val="1AF75E81"/>
    <w:rsid w:val="1B46065D"/>
    <w:rsid w:val="1B6B112B"/>
    <w:rsid w:val="1B740D26"/>
    <w:rsid w:val="1BBD091F"/>
    <w:rsid w:val="1C273FEB"/>
    <w:rsid w:val="1CE4012E"/>
    <w:rsid w:val="1D5B3442"/>
    <w:rsid w:val="1DBA2C3C"/>
    <w:rsid w:val="1E2E78B2"/>
    <w:rsid w:val="1EAA2312"/>
    <w:rsid w:val="1F3C7DAD"/>
    <w:rsid w:val="1F941997"/>
    <w:rsid w:val="1FD91AA0"/>
    <w:rsid w:val="1FE83A4B"/>
    <w:rsid w:val="204F1D62"/>
    <w:rsid w:val="2091237A"/>
    <w:rsid w:val="20B83463"/>
    <w:rsid w:val="20B9542D"/>
    <w:rsid w:val="20D17737"/>
    <w:rsid w:val="20D9272F"/>
    <w:rsid w:val="211D776A"/>
    <w:rsid w:val="21E62252"/>
    <w:rsid w:val="2217065D"/>
    <w:rsid w:val="22CC1448"/>
    <w:rsid w:val="22DC778B"/>
    <w:rsid w:val="236264C6"/>
    <w:rsid w:val="23841D23"/>
    <w:rsid w:val="239D1036"/>
    <w:rsid w:val="23CE11F0"/>
    <w:rsid w:val="243454F7"/>
    <w:rsid w:val="243472A5"/>
    <w:rsid w:val="245711E5"/>
    <w:rsid w:val="24773635"/>
    <w:rsid w:val="248F4E23"/>
    <w:rsid w:val="24BE3012"/>
    <w:rsid w:val="24EE7D9B"/>
    <w:rsid w:val="25714529"/>
    <w:rsid w:val="2580723F"/>
    <w:rsid w:val="25D6438C"/>
    <w:rsid w:val="26DE799C"/>
    <w:rsid w:val="271C2272"/>
    <w:rsid w:val="27410B88"/>
    <w:rsid w:val="276F1903"/>
    <w:rsid w:val="27A209C9"/>
    <w:rsid w:val="27D76B19"/>
    <w:rsid w:val="27E95B32"/>
    <w:rsid w:val="2849353B"/>
    <w:rsid w:val="2A067935"/>
    <w:rsid w:val="2A5F7045"/>
    <w:rsid w:val="2B177920"/>
    <w:rsid w:val="2BD15D21"/>
    <w:rsid w:val="2C324A12"/>
    <w:rsid w:val="2D281971"/>
    <w:rsid w:val="2D850B71"/>
    <w:rsid w:val="2DB31B82"/>
    <w:rsid w:val="2DCC2C44"/>
    <w:rsid w:val="2E9645A5"/>
    <w:rsid w:val="2F120B2A"/>
    <w:rsid w:val="2F511653"/>
    <w:rsid w:val="2F810DC1"/>
    <w:rsid w:val="2FAF6379"/>
    <w:rsid w:val="30275F10"/>
    <w:rsid w:val="3050769E"/>
    <w:rsid w:val="30654C8A"/>
    <w:rsid w:val="30E63858"/>
    <w:rsid w:val="30F027A5"/>
    <w:rsid w:val="314C11F5"/>
    <w:rsid w:val="319121DA"/>
    <w:rsid w:val="31BE0AF5"/>
    <w:rsid w:val="320F75A3"/>
    <w:rsid w:val="329B4993"/>
    <w:rsid w:val="32F43AD7"/>
    <w:rsid w:val="330662B0"/>
    <w:rsid w:val="335D7E9A"/>
    <w:rsid w:val="33CC22E4"/>
    <w:rsid w:val="34000F51"/>
    <w:rsid w:val="34384B8F"/>
    <w:rsid w:val="346E6803"/>
    <w:rsid w:val="348C6C89"/>
    <w:rsid w:val="34D523DE"/>
    <w:rsid w:val="35BE2E72"/>
    <w:rsid w:val="35EE7625"/>
    <w:rsid w:val="360C62D3"/>
    <w:rsid w:val="36541A28"/>
    <w:rsid w:val="36794FEB"/>
    <w:rsid w:val="367F4CF7"/>
    <w:rsid w:val="3684230E"/>
    <w:rsid w:val="36A55028"/>
    <w:rsid w:val="380D1CD7"/>
    <w:rsid w:val="38185810"/>
    <w:rsid w:val="38801E94"/>
    <w:rsid w:val="39B8407C"/>
    <w:rsid w:val="39CE564E"/>
    <w:rsid w:val="39F50E2C"/>
    <w:rsid w:val="3A323E2F"/>
    <w:rsid w:val="3A940645"/>
    <w:rsid w:val="3CB94393"/>
    <w:rsid w:val="3D0E0B83"/>
    <w:rsid w:val="3DB80AEF"/>
    <w:rsid w:val="3DFE0BF8"/>
    <w:rsid w:val="3E0E070F"/>
    <w:rsid w:val="3E2B7513"/>
    <w:rsid w:val="3E722D1D"/>
    <w:rsid w:val="3E817133"/>
    <w:rsid w:val="3F696545"/>
    <w:rsid w:val="3FB157F6"/>
    <w:rsid w:val="3FCA4F5E"/>
    <w:rsid w:val="3FFB0EE2"/>
    <w:rsid w:val="403F2E01"/>
    <w:rsid w:val="4068695F"/>
    <w:rsid w:val="407C22A8"/>
    <w:rsid w:val="40A9471F"/>
    <w:rsid w:val="412C5A7C"/>
    <w:rsid w:val="41523008"/>
    <w:rsid w:val="42DA5063"/>
    <w:rsid w:val="436B215F"/>
    <w:rsid w:val="4413082D"/>
    <w:rsid w:val="441647C1"/>
    <w:rsid w:val="44822069"/>
    <w:rsid w:val="45246A6A"/>
    <w:rsid w:val="46472A10"/>
    <w:rsid w:val="46D63D94"/>
    <w:rsid w:val="475E2707"/>
    <w:rsid w:val="47A04ACD"/>
    <w:rsid w:val="47CA1B4A"/>
    <w:rsid w:val="499441BE"/>
    <w:rsid w:val="4A307DB5"/>
    <w:rsid w:val="4AF26E5B"/>
    <w:rsid w:val="4AFB201B"/>
    <w:rsid w:val="4BD034A7"/>
    <w:rsid w:val="4BDE7972"/>
    <w:rsid w:val="4BF13A1E"/>
    <w:rsid w:val="4CB229E4"/>
    <w:rsid w:val="4DB72B71"/>
    <w:rsid w:val="4E0946D6"/>
    <w:rsid w:val="4E4B5106"/>
    <w:rsid w:val="4EC512BE"/>
    <w:rsid w:val="4EDE32F2"/>
    <w:rsid w:val="4F3678D3"/>
    <w:rsid w:val="4F786330"/>
    <w:rsid w:val="500139E3"/>
    <w:rsid w:val="51027638"/>
    <w:rsid w:val="51C95AB4"/>
    <w:rsid w:val="51D34A2E"/>
    <w:rsid w:val="51F36142"/>
    <w:rsid w:val="53177C0E"/>
    <w:rsid w:val="53F51CFD"/>
    <w:rsid w:val="54692A7E"/>
    <w:rsid w:val="54A5425C"/>
    <w:rsid w:val="54B35714"/>
    <w:rsid w:val="54B95421"/>
    <w:rsid w:val="5520724E"/>
    <w:rsid w:val="553E1482"/>
    <w:rsid w:val="55425416"/>
    <w:rsid w:val="559D43FA"/>
    <w:rsid w:val="55A0213D"/>
    <w:rsid w:val="55B654BC"/>
    <w:rsid w:val="55BB7AC2"/>
    <w:rsid w:val="55F7730B"/>
    <w:rsid w:val="56905D0D"/>
    <w:rsid w:val="56B539C6"/>
    <w:rsid w:val="56E524FD"/>
    <w:rsid w:val="577675F9"/>
    <w:rsid w:val="57B40121"/>
    <w:rsid w:val="5813309A"/>
    <w:rsid w:val="581E0345"/>
    <w:rsid w:val="586236D9"/>
    <w:rsid w:val="588E0972"/>
    <w:rsid w:val="58EE68F4"/>
    <w:rsid w:val="5934151A"/>
    <w:rsid w:val="593709BD"/>
    <w:rsid w:val="59A73A9A"/>
    <w:rsid w:val="5A955FE8"/>
    <w:rsid w:val="5AA20705"/>
    <w:rsid w:val="5AF50835"/>
    <w:rsid w:val="5C3B671B"/>
    <w:rsid w:val="5C735EB5"/>
    <w:rsid w:val="5CFA7B27"/>
    <w:rsid w:val="5D292A17"/>
    <w:rsid w:val="5D9E51B4"/>
    <w:rsid w:val="5DC015CE"/>
    <w:rsid w:val="5DDE7CA6"/>
    <w:rsid w:val="5E453881"/>
    <w:rsid w:val="5E5379C4"/>
    <w:rsid w:val="5E9071F2"/>
    <w:rsid w:val="5F2416E8"/>
    <w:rsid w:val="5F3062DF"/>
    <w:rsid w:val="5FD17AC2"/>
    <w:rsid w:val="5FD650D9"/>
    <w:rsid w:val="6071095D"/>
    <w:rsid w:val="612E684E"/>
    <w:rsid w:val="61B1290B"/>
    <w:rsid w:val="61B964E7"/>
    <w:rsid w:val="629B3047"/>
    <w:rsid w:val="62E96ED1"/>
    <w:rsid w:val="636E73D6"/>
    <w:rsid w:val="63931612"/>
    <w:rsid w:val="64605461"/>
    <w:rsid w:val="65202952"/>
    <w:rsid w:val="656D35FB"/>
    <w:rsid w:val="65C07C91"/>
    <w:rsid w:val="663743F7"/>
    <w:rsid w:val="66A23F66"/>
    <w:rsid w:val="67242BCD"/>
    <w:rsid w:val="67256946"/>
    <w:rsid w:val="68112A26"/>
    <w:rsid w:val="683E47AE"/>
    <w:rsid w:val="68C1269E"/>
    <w:rsid w:val="69A21DD5"/>
    <w:rsid w:val="6A2A6878"/>
    <w:rsid w:val="6AAF6C52"/>
    <w:rsid w:val="6B0B7C00"/>
    <w:rsid w:val="6B4D2364"/>
    <w:rsid w:val="6B60324D"/>
    <w:rsid w:val="6B6B0BB8"/>
    <w:rsid w:val="6BD56546"/>
    <w:rsid w:val="6BDF3567"/>
    <w:rsid w:val="6C3C3205"/>
    <w:rsid w:val="6C9854C4"/>
    <w:rsid w:val="6CC85DA9"/>
    <w:rsid w:val="6E407BC1"/>
    <w:rsid w:val="6EA939B8"/>
    <w:rsid w:val="6EED7D49"/>
    <w:rsid w:val="6FD44A65"/>
    <w:rsid w:val="71307381"/>
    <w:rsid w:val="71D61347"/>
    <w:rsid w:val="72180871"/>
    <w:rsid w:val="72190E55"/>
    <w:rsid w:val="725620A9"/>
    <w:rsid w:val="73137F9A"/>
    <w:rsid w:val="73702CF6"/>
    <w:rsid w:val="73AF381F"/>
    <w:rsid w:val="75093403"/>
    <w:rsid w:val="756958E5"/>
    <w:rsid w:val="757E4E44"/>
    <w:rsid w:val="75F96FD3"/>
    <w:rsid w:val="75FF0362"/>
    <w:rsid w:val="76263B40"/>
    <w:rsid w:val="769431A0"/>
    <w:rsid w:val="7714067A"/>
    <w:rsid w:val="77A657BE"/>
    <w:rsid w:val="77D9530E"/>
    <w:rsid w:val="783F0EE9"/>
    <w:rsid w:val="78D12FC9"/>
    <w:rsid w:val="78E0091E"/>
    <w:rsid w:val="790A6439"/>
    <w:rsid w:val="790C526F"/>
    <w:rsid w:val="79346574"/>
    <w:rsid w:val="79C124FE"/>
    <w:rsid w:val="7A28257D"/>
    <w:rsid w:val="7AB20098"/>
    <w:rsid w:val="7C5A3C20"/>
    <w:rsid w:val="7CA844F2"/>
    <w:rsid w:val="7CE548E5"/>
    <w:rsid w:val="7DE663D8"/>
    <w:rsid w:val="7EEF3669"/>
    <w:rsid w:val="7F0C6A67"/>
    <w:rsid w:val="7FF62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spacing w:before="100" w:beforeAutospacing="1" w:after="0"/>
      <w:ind w:firstLine="420" w:firstLineChars="200"/>
    </w:pPr>
    <w:rPr>
      <w:rFonts w:ascii="Times New Roman" w:hAnsi="Times New Roman" w:eastAsia="宋体" w:cs="Times New Roman"/>
    </w:rPr>
  </w:style>
  <w:style w:type="paragraph" w:styleId="3">
    <w:name w:val="Normal Indent"/>
    <w:basedOn w:val="1"/>
    <w:next w:val="1"/>
    <w:autoRedefine/>
    <w:qFormat/>
    <w:uiPriority w:val="0"/>
    <w:pPr>
      <w:ind w:firstLine="420" w:firstLineChars="200"/>
    </w:p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Strong"/>
    <w:basedOn w:val="6"/>
    <w:autoRedefine/>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2436</Words>
  <Characters>2442</Characters>
  <Lines>0</Lines>
  <Paragraphs>0</Paragraphs>
  <TotalTime>8</TotalTime>
  <ScaleCrop>false</ScaleCrop>
  <LinksUpToDate>false</LinksUpToDate>
  <CharactersWithSpaces>2443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2023-03-14T02:50:00Z</dcterms:created>
  <dc:creator>夏栀</dc:creator>
  <cp:lastModifiedBy>小西瓜</cp:lastModifiedBy>
  <cp:lastPrinted>2024-03-28T03:32:54Z</cp:lastPrinted>
  <dcterms:modified xsi:type="dcterms:W3CDTF">2024-03-28T03:36:21Z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56CE38311AAF4437A75F82580F07F763_13</vt:lpwstr>
  </property>
</Properties>
</file>